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999BC" w14:textId="77777777" w:rsidR="00784CB6" w:rsidRDefault="00784CB6">
      <w:pPr>
        <w:jc w:val="center"/>
        <w:rPr>
          <w:rFonts w:ascii="宋体" w:eastAsia="宋体" w:hAnsi="宋体"/>
          <w:b/>
          <w:sz w:val="44"/>
          <w:szCs w:val="44"/>
        </w:rPr>
      </w:pPr>
    </w:p>
    <w:p w14:paraId="724B98BC" w14:textId="77777777" w:rsidR="00784CB6" w:rsidRDefault="00784CB6">
      <w:pPr>
        <w:jc w:val="center"/>
        <w:rPr>
          <w:rFonts w:ascii="宋体" w:eastAsia="宋体" w:hAnsi="宋体"/>
          <w:b/>
          <w:sz w:val="44"/>
          <w:szCs w:val="44"/>
        </w:rPr>
      </w:pPr>
    </w:p>
    <w:p w14:paraId="592F6386" w14:textId="77777777" w:rsidR="00784CB6" w:rsidRDefault="00784CB6">
      <w:pPr>
        <w:jc w:val="center"/>
        <w:rPr>
          <w:rFonts w:ascii="宋体" w:eastAsia="宋体" w:hAnsi="宋体"/>
          <w:b/>
          <w:sz w:val="44"/>
          <w:szCs w:val="44"/>
        </w:rPr>
      </w:pPr>
    </w:p>
    <w:p w14:paraId="0A09F602" w14:textId="77777777" w:rsidR="00784CB6" w:rsidRDefault="00784CB6">
      <w:pPr>
        <w:jc w:val="center"/>
        <w:rPr>
          <w:rFonts w:ascii="宋体" w:eastAsia="宋体" w:hAnsi="宋体"/>
          <w:b/>
          <w:sz w:val="44"/>
          <w:szCs w:val="44"/>
        </w:rPr>
      </w:pPr>
    </w:p>
    <w:p w14:paraId="3B2F548A" w14:textId="77777777" w:rsidR="00784CB6" w:rsidRDefault="00000000">
      <w:pPr>
        <w:spacing w:beforeLines="100" w:before="312" w:line="360" w:lineRule="auto"/>
        <w:jc w:val="center"/>
        <w:rPr>
          <w:rFonts w:ascii="宋体" w:eastAsia="宋体" w:hAnsi="宋体"/>
          <w:b/>
          <w:sz w:val="44"/>
          <w:szCs w:val="44"/>
        </w:rPr>
      </w:pPr>
      <w:r>
        <w:rPr>
          <w:rFonts w:ascii="宋体" w:eastAsia="宋体" w:hAnsi="宋体" w:hint="eastAsia"/>
          <w:b/>
          <w:sz w:val="44"/>
          <w:szCs w:val="44"/>
        </w:rPr>
        <w:t>国家</w:t>
      </w:r>
      <w:r>
        <w:rPr>
          <w:rFonts w:ascii="宋体" w:eastAsia="宋体" w:hAnsi="宋体"/>
          <w:b/>
          <w:sz w:val="44"/>
          <w:szCs w:val="44"/>
        </w:rPr>
        <w:t>标准</w:t>
      </w:r>
    </w:p>
    <w:p w14:paraId="21CAF33F" w14:textId="77777777" w:rsidR="00784CB6" w:rsidRDefault="00000000">
      <w:pPr>
        <w:spacing w:beforeLines="100" w:before="312" w:line="360" w:lineRule="auto"/>
        <w:jc w:val="center"/>
        <w:rPr>
          <w:rFonts w:ascii="宋体" w:eastAsia="宋体" w:hAnsi="宋体"/>
          <w:b/>
          <w:sz w:val="44"/>
          <w:szCs w:val="44"/>
        </w:rPr>
      </w:pPr>
      <w:r>
        <w:rPr>
          <w:rFonts w:ascii="宋体" w:eastAsia="宋体" w:hAnsi="宋体" w:hint="eastAsia"/>
          <w:b/>
          <w:sz w:val="44"/>
          <w:szCs w:val="44"/>
        </w:rPr>
        <w:t>《温室气体排放核算与报告要求 第X部分：烧结墙体屋面及道路用建筑材料生产企业》</w:t>
      </w:r>
    </w:p>
    <w:p w14:paraId="01E28BCF" w14:textId="77777777" w:rsidR="00784CB6" w:rsidRDefault="00784CB6">
      <w:pPr>
        <w:jc w:val="center"/>
        <w:rPr>
          <w:rFonts w:ascii="宋体" w:eastAsia="宋体" w:hAnsi="宋体"/>
          <w:sz w:val="36"/>
          <w:szCs w:val="36"/>
        </w:rPr>
      </w:pPr>
    </w:p>
    <w:p w14:paraId="6B1A4875" w14:textId="77777777" w:rsidR="00784CB6" w:rsidRDefault="00000000">
      <w:pPr>
        <w:jc w:val="center"/>
        <w:rPr>
          <w:rFonts w:ascii="Times New Roman" w:eastAsia="宋体" w:hAnsi="Times New Roman" w:cs="Times New Roman"/>
          <w:b/>
          <w:sz w:val="84"/>
          <w:szCs w:val="84"/>
        </w:rPr>
      </w:pPr>
      <w:r>
        <w:rPr>
          <w:rFonts w:ascii="Times New Roman" w:eastAsia="宋体" w:hAnsi="Times New Roman" w:cs="Times New Roman" w:hint="eastAsia"/>
          <w:b/>
          <w:sz w:val="84"/>
          <w:szCs w:val="84"/>
        </w:rPr>
        <w:t>编</w:t>
      </w:r>
      <w:r>
        <w:rPr>
          <w:rFonts w:ascii="Times New Roman" w:eastAsia="宋体" w:hAnsi="Times New Roman" w:cs="Times New Roman" w:hint="eastAsia"/>
          <w:b/>
          <w:sz w:val="84"/>
          <w:szCs w:val="84"/>
        </w:rPr>
        <w:t xml:space="preserve"> </w:t>
      </w:r>
      <w:r>
        <w:rPr>
          <w:rFonts w:ascii="Times New Roman" w:eastAsia="宋体" w:hAnsi="Times New Roman" w:cs="Times New Roman" w:hint="eastAsia"/>
          <w:b/>
          <w:sz w:val="84"/>
          <w:szCs w:val="84"/>
        </w:rPr>
        <w:t>制</w:t>
      </w:r>
      <w:r>
        <w:rPr>
          <w:rFonts w:ascii="Times New Roman" w:eastAsia="宋体" w:hAnsi="Times New Roman" w:cs="Times New Roman" w:hint="eastAsia"/>
          <w:b/>
          <w:sz w:val="84"/>
          <w:szCs w:val="84"/>
        </w:rPr>
        <w:t xml:space="preserve"> </w:t>
      </w:r>
      <w:r>
        <w:rPr>
          <w:rFonts w:ascii="Times New Roman" w:eastAsia="宋体" w:hAnsi="Times New Roman" w:cs="Times New Roman" w:hint="eastAsia"/>
          <w:b/>
          <w:sz w:val="84"/>
          <w:szCs w:val="84"/>
        </w:rPr>
        <w:t>说</w:t>
      </w:r>
      <w:r>
        <w:rPr>
          <w:rFonts w:ascii="Times New Roman" w:eastAsia="宋体" w:hAnsi="Times New Roman" w:cs="Times New Roman" w:hint="eastAsia"/>
          <w:b/>
          <w:sz w:val="84"/>
          <w:szCs w:val="84"/>
        </w:rPr>
        <w:t xml:space="preserve"> </w:t>
      </w:r>
      <w:r>
        <w:rPr>
          <w:rFonts w:ascii="Times New Roman" w:eastAsia="宋体" w:hAnsi="Times New Roman" w:cs="Times New Roman" w:hint="eastAsia"/>
          <w:b/>
          <w:sz w:val="84"/>
          <w:szCs w:val="84"/>
        </w:rPr>
        <w:t>明</w:t>
      </w:r>
    </w:p>
    <w:p w14:paraId="6A5A9C8D" w14:textId="77777777" w:rsidR="00784CB6" w:rsidRDefault="00000000">
      <w:pPr>
        <w:jc w:val="center"/>
        <w:outlineLvl w:val="0"/>
        <w:rPr>
          <w:rFonts w:ascii="Times New Roman" w:eastAsia="宋体" w:hAnsi="Times New Roman" w:cs="Times New Roman"/>
          <w:b/>
          <w:sz w:val="32"/>
          <w:szCs w:val="32"/>
        </w:rPr>
      </w:pPr>
      <w:r>
        <w:rPr>
          <w:rFonts w:ascii="Times New Roman" w:eastAsia="宋体" w:hAnsi="Times New Roman" w:cs="Times New Roman"/>
          <w:b/>
          <w:sz w:val="32"/>
          <w:szCs w:val="32"/>
        </w:rPr>
        <w:t>（</w:t>
      </w:r>
      <w:r>
        <w:rPr>
          <w:rFonts w:ascii="Times New Roman" w:eastAsia="宋体" w:hAnsi="Times New Roman" w:cs="Times New Roman" w:hint="eastAsia"/>
          <w:b/>
          <w:sz w:val="32"/>
          <w:szCs w:val="32"/>
        </w:rPr>
        <w:t>征求意见稿</w:t>
      </w:r>
      <w:r>
        <w:rPr>
          <w:rFonts w:ascii="Times New Roman" w:eastAsia="宋体" w:hAnsi="Times New Roman" w:cs="Times New Roman"/>
          <w:b/>
          <w:sz w:val="32"/>
          <w:szCs w:val="32"/>
        </w:rPr>
        <w:t>）</w:t>
      </w:r>
    </w:p>
    <w:p w14:paraId="3134BB4B" w14:textId="77777777" w:rsidR="00784CB6" w:rsidRDefault="00784CB6">
      <w:pPr>
        <w:jc w:val="center"/>
        <w:rPr>
          <w:rFonts w:ascii="宋体" w:eastAsia="宋体" w:hAnsi="宋体"/>
          <w:b/>
          <w:sz w:val="44"/>
          <w:szCs w:val="44"/>
        </w:rPr>
      </w:pPr>
    </w:p>
    <w:p w14:paraId="4F01FF91" w14:textId="77777777" w:rsidR="00784CB6" w:rsidRDefault="00784CB6">
      <w:pPr>
        <w:jc w:val="center"/>
        <w:rPr>
          <w:rFonts w:ascii="宋体" w:eastAsia="宋体" w:hAnsi="宋体"/>
          <w:b/>
          <w:sz w:val="44"/>
          <w:szCs w:val="44"/>
        </w:rPr>
      </w:pPr>
    </w:p>
    <w:p w14:paraId="1AB636EB" w14:textId="77777777" w:rsidR="00784CB6" w:rsidRDefault="00784CB6">
      <w:pPr>
        <w:jc w:val="center"/>
        <w:rPr>
          <w:rFonts w:ascii="宋体" w:eastAsia="宋体" w:hAnsi="宋体"/>
          <w:b/>
          <w:sz w:val="44"/>
          <w:szCs w:val="44"/>
        </w:rPr>
      </w:pPr>
    </w:p>
    <w:p w14:paraId="5B6595A9" w14:textId="77777777" w:rsidR="00784CB6" w:rsidRDefault="00784CB6">
      <w:pPr>
        <w:jc w:val="center"/>
        <w:rPr>
          <w:rFonts w:ascii="宋体" w:eastAsia="宋体" w:hAnsi="宋体"/>
          <w:b/>
          <w:sz w:val="44"/>
          <w:szCs w:val="44"/>
        </w:rPr>
      </w:pPr>
    </w:p>
    <w:p w14:paraId="632B4863" w14:textId="77777777" w:rsidR="00784CB6" w:rsidRDefault="00784CB6">
      <w:pPr>
        <w:jc w:val="center"/>
        <w:rPr>
          <w:rFonts w:ascii="宋体" w:eastAsia="宋体" w:hAnsi="宋体"/>
          <w:b/>
          <w:sz w:val="44"/>
          <w:szCs w:val="44"/>
        </w:rPr>
      </w:pPr>
    </w:p>
    <w:p w14:paraId="0E84EF8F" w14:textId="77777777" w:rsidR="00784CB6" w:rsidRDefault="00784CB6">
      <w:pPr>
        <w:jc w:val="center"/>
        <w:rPr>
          <w:rFonts w:ascii="宋体" w:eastAsia="宋体" w:hAnsi="宋体"/>
          <w:b/>
          <w:sz w:val="44"/>
          <w:szCs w:val="44"/>
        </w:rPr>
      </w:pPr>
    </w:p>
    <w:p w14:paraId="1CE70284" w14:textId="77777777" w:rsidR="00784CB6" w:rsidRDefault="00784CB6">
      <w:pPr>
        <w:jc w:val="center"/>
        <w:rPr>
          <w:rFonts w:ascii="宋体" w:eastAsia="宋体" w:hAnsi="宋体"/>
          <w:b/>
          <w:sz w:val="44"/>
          <w:szCs w:val="44"/>
        </w:rPr>
      </w:pPr>
    </w:p>
    <w:p w14:paraId="655832F4" w14:textId="77777777" w:rsidR="00784CB6" w:rsidRDefault="00784CB6">
      <w:pPr>
        <w:jc w:val="center"/>
        <w:rPr>
          <w:rFonts w:ascii="宋体" w:eastAsia="宋体" w:hAnsi="宋体"/>
          <w:b/>
          <w:sz w:val="44"/>
          <w:szCs w:val="44"/>
        </w:rPr>
      </w:pPr>
    </w:p>
    <w:p w14:paraId="03A7B2E8" w14:textId="77777777" w:rsidR="00784CB6" w:rsidRDefault="00000000">
      <w:pPr>
        <w:jc w:val="center"/>
        <w:rPr>
          <w:rFonts w:ascii="黑体" w:eastAsia="黑体" w:hAnsi="黑体"/>
          <w:b/>
          <w:sz w:val="32"/>
          <w:szCs w:val="32"/>
        </w:rPr>
      </w:pPr>
      <w:r>
        <w:rPr>
          <w:rFonts w:ascii="黑体" w:eastAsia="黑体" w:hAnsi="黑体" w:hint="eastAsia"/>
          <w:b/>
          <w:sz w:val="32"/>
          <w:szCs w:val="32"/>
        </w:rPr>
        <w:t>标准编制组</w:t>
      </w:r>
    </w:p>
    <w:p w14:paraId="53870FD9" w14:textId="77777777" w:rsidR="00784CB6" w:rsidRDefault="00000000">
      <w:pPr>
        <w:jc w:val="center"/>
        <w:rPr>
          <w:rFonts w:ascii="黑体" w:eastAsia="黑体" w:hAnsi="黑体"/>
          <w:b/>
          <w:sz w:val="32"/>
          <w:szCs w:val="32"/>
        </w:rPr>
      </w:pPr>
      <w:r>
        <w:rPr>
          <w:rFonts w:ascii="黑体" w:eastAsia="黑体" w:hAnsi="黑体" w:hint="eastAsia"/>
          <w:b/>
          <w:sz w:val="32"/>
          <w:szCs w:val="32"/>
        </w:rPr>
        <w:t>202</w:t>
      </w:r>
      <w:r>
        <w:rPr>
          <w:rFonts w:ascii="黑体" w:eastAsia="黑体" w:hAnsi="黑体"/>
          <w:b/>
          <w:sz w:val="32"/>
          <w:szCs w:val="32"/>
        </w:rPr>
        <w:t>4</w:t>
      </w:r>
      <w:r>
        <w:rPr>
          <w:rFonts w:ascii="黑体" w:eastAsia="黑体" w:hAnsi="黑体" w:hint="eastAsia"/>
          <w:b/>
          <w:sz w:val="32"/>
          <w:szCs w:val="32"/>
        </w:rPr>
        <w:t>年</w:t>
      </w:r>
      <w:r>
        <w:rPr>
          <w:rFonts w:ascii="黑体" w:eastAsia="黑体" w:hAnsi="黑体"/>
          <w:b/>
          <w:sz w:val="32"/>
          <w:szCs w:val="32"/>
        </w:rPr>
        <w:t>5</w:t>
      </w:r>
      <w:r>
        <w:rPr>
          <w:rFonts w:ascii="黑体" w:eastAsia="黑体" w:hAnsi="黑体" w:hint="eastAsia"/>
          <w:b/>
          <w:sz w:val="32"/>
          <w:szCs w:val="32"/>
        </w:rPr>
        <w:t>月</w:t>
      </w:r>
    </w:p>
    <w:p w14:paraId="7F77E00E" w14:textId="77777777" w:rsidR="00784CB6" w:rsidRDefault="00784CB6">
      <w:pPr>
        <w:widowControl/>
        <w:jc w:val="left"/>
        <w:rPr>
          <w:rFonts w:ascii="宋体" w:eastAsia="宋体" w:hAnsi="宋体"/>
          <w:sz w:val="36"/>
          <w:szCs w:val="36"/>
        </w:rPr>
        <w:sectPr w:rsidR="00784CB6">
          <w:footerReference w:type="default" r:id="rId9"/>
          <w:pgSz w:w="11906" w:h="16838"/>
          <w:pgMar w:top="1304" w:right="1304" w:bottom="1134" w:left="1531" w:header="851" w:footer="992" w:gutter="0"/>
          <w:cols w:space="425"/>
          <w:docGrid w:type="lines" w:linePitch="312"/>
        </w:sectPr>
      </w:pPr>
    </w:p>
    <w:p w14:paraId="34DB6C54" w14:textId="77777777" w:rsidR="00784CB6" w:rsidRDefault="00000000">
      <w:pPr>
        <w:pStyle w:val="1"/>
        <w:numPr>
          <w:ilvl w:val="0"/>
          <w:numId w:val="11"/>
        </w:numPr>
        <w:spacing w:beforeLines="50" w:before="120" w:afterLines="50" w:after="120" w:line="500" w:lineRule="exact"/>
        <w:rPr>
          <w:sz w:val="30"/>
          <w:szCs w:val="30"/>
        </w:rPr>
      </w:pPr>
      <w:r>
        <w:rPr>
          <w:rFonts w:hint="eastAsia"/>
          <w:sz w:val="30"/>
          <w:szCs w:val="30"/>
        </w:rPr>
        <w:lastRenderedPageBreak/>
        <w:t>概述</w:t>
      </w:r>
    </w:p>
    <w:p w14:paraId="60D79414"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2020年9月22日，习近平总书记在第七十五届联合国大会一般性辩论上向世界宣布了中国的新达峰目标与碳中和愿景。</w:t>
      </w:r>
      <w:r>
        <w:rPr>
          <w:rFonts w:ascii="宋体" w:eastAsia="宋体" w:hAnsi="宋体"/>
          <w:sz w:val="24"/>
          <w:szCs w:val="24"/>
        </w:rPr>
        <w:t>2021</w:t>
      </w:r>
      <w:r>
        <w:rPr>
          <w:rFonts w:ascii="宋体" w:eastAsia="宋体" w:hAnsi="宋体" w:hint="eastAsia"/>
          <w:sz w:val="24"/>
          <w:szCs w:val="24"/>
        </w:rPr>
        <w:t>年</w:t>
      </w:r>
      <w:r>
        <w:rPr>
          <w:rFonts w:ascii="宋体" w:eastAsia="宋体" w:hAnsi="宋体"/>
          <w:sz w:val="24"/>
          <w:szCs w:val="24"/>
        </w:rPr>
        <w:t>9</w:t>
      </w:r>
      <w:r>
        <w:rPr>
          <w:rFonts w:ascii="宋体" w:eastAsia="宋体" w:hAnsi="宋体" w:hint="eastAsia"/>
          <w:sz w:val="24"/>
          <w:szCs w:val="24"/>
        </w:rPr>
        <w:t>月，中共中央、国务院发布《关于完整准确全面贯彻新发展理念做好碳达峰碳中和工作的意见》，提出要</w:t>
      </w:r>
      <w:r>
        <w:rPr>
          <w:rFonts w:ascii="宋体" w:eastAsia="宋体" w:hAnsi="宋体"/>
          <w:sz w:val="24"/>
          <w:szCs w:val="24"/>
        </w:rPr>
        <w:t>“加快完善地区、行业、企业、产品等</w:t>
      </w:r>
      <w:r>
        <w:rPr>
          <w:rFonts w:ascii="宋体" w:eastAsia="宋体" w:hAnsi="宋体" w:hint="eastAsia"/>
          <w:sz w:val="24"/>
          <w:szCs w:val="24"/>
        </w:rPr>
        <w:t>碳排放核查核算报告标准，建立统一规范的碳核算体系”；</w:t>
      </w:r>
      <w:r>
        <w:rPr>
          <w:rFonts w:ascii="宋体" w:eastAsia="宋体" w:hAnsi="宋体"/>
          <w:sz w:val="24"/>
          <w:szCs w:val="24"/>
        </w:rPr>
        <w:t>10</w:t>
      </w:r>
      <w:r>
        <w:rPr>
          <w:rFonts w:ascii="宋体" w:eastAsia="宋体" w:hAnsi="宋体" w:hint="eastAsia"/>
          <w:sz w:val="24"/>
          <w:szCs w:val="24"/>
        </w:rPr>
        <w:t>月，国务院发布《2030年前碳达峰行动方案》，提出要</w:t>
      </w:r>
      <w:r>
        <w:rPr>
          <w:rFonts w:ascii="宋体" w:eastAsia="宋体" w:hAnsi="宋体"/>
          <w:sz w:val="24"/>
          <w:szCs w:val="24"/>
        </w:rPr>
        <w:t>“</w:t>
      </w:r>
      <w:r>
        <w:rPr>
          <w:rFonts w:ascii="宋体" w:eastAsia="宋体" w:hAnsi="宋体" w:hint="eastAsia"/>
          <w:sz w:val="24"/>
          <w:szCs w:val="24"/>
        </w:rPr>
        <w:t>加强碳排放核算能力建设，深化核算方法研究，加快建立统一规范的碳排放核算体系”。 各部门为积极落实中央部署相继出台的《工业领域碳达峰实施方案》《建材行业碳达峰实施方案》《关于加快建立统一规范的碳排放统计核算体系实施方案》等文件中均对加快建立健全工业领域碳标准体系工作提出要求。</w:t>
      </w:r>
    </w:p>
    <w:p w14:paraId="49589AA2"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同时，为推进碳标准研究工作，</w:t>
      </w:r>
      <w:r>
        <w:rPr>
          <w:rFonts w:ascii="宋体" w:eastAsia="宋体" w:hAnsi="宋体"/>
          <w:sz w:val="24"/>
          <w:szCs w:val="24"/>
        </w:rPr>
        <w:t>2021</w:t>
      </w:r>
      <w:r>
        <w:rPr>
          <w:rFonts w:ascii="宋体" w:eastAsia="宋体" w:hAnsi="宋体" w:hint="eastAsia"/>
          <w:sz w:val="24"/>
          <w:szCs w:val="24"/>
        </w:rPr>
        <w:t>年</w:t>
      </w:r>
      <w:r>
        <w:rPr>
          <w:rFonts w:ascii="宋体" w:eastAsia="宋体" w:hAnsi="宋体"/>
          <w:sz w:val="24"/>
          <w:szCs w:val="24"/>
        </w:rPr>
        <w:t>10</w:t>
      </w:r>
      <w:r>
        <w:rPr>
          <w:rFonts w:ascii="宋体" w:eastAsia="宋体" w:hAnsi="宋体" w:hint="eastAsia"/>
          <w:sz w:val="24"/>
          <w:szCs w:val="24"/>
        </w:rPr>
        <w:t>月，中共中央国务院印发《国家标准化发展纲要》，指出要加快完善地区、行业、企业、产品等碳排放核查核算标准，制定重点行业和产品温室气体排放标准；</w:t>
      </w:r>
      <w:r>
        <w:rPr>
          <w:rFonts w:ascii="宋体" w:eastAsia="宋体" w:hAnsi="宋体"/>
          <w:sz w:val="24"/>
          <w:szCs w:val="24"/>
        </w:rPr>
        <w:t>2023</w:t>
      </w:r>
      <w:r>
        <w:rPr>
          <w:rFonts w:ascii="宋体" w:eastAsia="宋体" w:hAnsi="宋体" w:hint="eastAsia"/>
          <w:sz w:val="24"/>
          <w:szCs w:val="24"/>
        </w:rPr>
        <w:t>年发布的《国家标准立项指南》中，将碳达峰碳中和领域作为本年度推荐性国家标准制定的重点支持方向，其中包括对碳排放核算报告的研究；国标委在《</w:t>
      </w:r>
      <w:r>
        <w:rPr>
          <w:rFonts w:ascii="宋体" w:eastAsia="宋体" w:hAnsi="宋体"/>
          <w:sz w:val="24"/>
          <w:szCs w:val="24"/>
        </w:rPr>
        <w:t>2023</w:t>
      </w:r>
      <w:r>
        <w:rPr>
          <w:rFonts w:ascii="宋体" w:eastAsia="宋体" w:hAnsi="宋体" w:hint="eastAsia"/>
          <w:sz w:val="24"/>
          <w:szCs w:val="24"/>
        </w:rPr>
        <w:t>年全国标准化工作要点》中指出要积极稳妥推进落实碳达峰碳中和标准计量体系实施方案，印发双碳标准体系建设指南，下达一批双碳标准专项计划。</w:t>
      </w:r>
    </w:p>
    <w:p w14:paraId="67310ABF"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要</w:t>
      </w:r>
      <w:r>
        <w:rPr>
          <w:rFonts w:ascii="宋体" w:eastAsia="宋体" w:hAnsi="宋体"/>
          <w:sz w:val="24"/>
          <w:szCs w:val="24"/>
        </w:rPr>
        <w:t>实现碳减排工作，制定科学合理的核算依据是前提条件。2015年11月，国标委发布《工业企业温室气体排放核算和报告通则》（GB/T 32150）以及12个重点行业温室气体排放核算方法与报告要求系列标准(GB/T 32151.1～12)</w:t>
      </w:r>
      <w:r>
        <w:rPr>
          <w:rFonts w:ascii="宋体" w:eastAsia="宋体" w:hAnsi="宋体" w:hint="eastAsia"/>
          <w:sz w:val="24"/>
          <w:szCs w:val="24"/>
        </w:rPr>
        <w:t>。</w:t>
      </w:r>
      <w:r>
        <w:rPr>
          <w:rFonts w:ascii="宋体" w:eastAsia="宋体" w:hAnsi="宋体"/>
          <w:sz w:val="24"/>
          <w:szCs w:val="24"/>
        </w:rPr>
        <w:t>发改委在2014年出台《关于组织开展重点企（事）业单位温室气体排放报告工作的通知》（发改气候[2014]63号），分批公布了24个行业温室气体排放核算指南。这些核算标准和指南的制定对掌握企业温室气体排放现状、发现企业减少温室气体排放关键环节、设定企业未来温室气体排放目标以及满足国家、地方对温室气体排放控制要求与碳排放权交易提供了重要核算依据。然而，由于不同行业的排放源特点与行业技术、工艺、产品特性密切相关，分属不同行业的企业在开展温室气体管理时所面临的问题也不尽相同。同时，由于我国经济的不断提升，社会的不断进步，企业温室气体排放的管理工作也随着提升，因此，带有行业特</w:t>
      </w:r>
      <w:r>
        <w:rPr>
          <w:rFonts w:ascii="宋体" w:eastAsia="宋体" w:hAnsi="宋体"/>
          <w:sz w:val="24"/>
          <w:szCs w:val="24"/>
        </w:rPr>
        <w:lastRenderedPageBreak/>
        <w:t>点的企业温室气体排放核算的标准与方式正逐渐受到更多关注</w:t>
      </w:r>
      <w:r>
        <w:rPr>
          <w:rFonts w:ascii="宋体" w:eastAsia="宋体" w:hAnsi="宋体" w:hint="eastAsia"/>
          <w:sz w:val="24"/>
          <w:szCs w:val="24"/>
        </w:rPr>
        <w:t>。</w:t>
      </w:r>
    </w:p>
    <w:p w14:paraId="5F762FAE"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根据《中国建筑材料工业碳排放报告（</w:t>
      </w:r>
      <w:r>
        <w:rPr>
          <w:rFonts w:ascii="宋体" w:eastAsia="宋体" w:hAnsi="宋体"/>
          <w:sz w:val="24"/>
          <w:szCs w:val="24"/>
        </w:rPr>
        <w:t>2020</w:t>
      </w:r>
      <w:r>
        <w:rPr>
          <w:rFonts w:ascii="宋体" w:eastAsia="宋体" w:hAnsi="宋体" w:hint="eastAsia"/>
          <w:sz w:val="24"/>
          <w:szCs w:val="24"/>
        </w:rPr>
        <w:t>年度）》统计结果显示，2020年墙体材料工业二氧化碳排放量为1322万吨，电耗折算612万吨CO</w:t>
      </w:r>
      <w:r>
        <w:rPr>
          <w:rFonts w:ascii="宋体" w:eastAsia="宋体" w:hAnsi="宋体" w:hint="eastAsia"/>
          <w:sz w:val="24"/>
          <w:szCs w:val="24"/>
          <w:vertAlign w:val="subscript"/>
        </w:rPr>
        <w:t>2</w:t>
      </w:r>
      <w:r>
        <w:rPr>
          <w:rFonts w:ascii="宋体" w:eastAsia="宋体" w:hAnsi="宋体" w:hint="eastAsia"/>
          <w:sz w:val="24"/>
          <w:szCs w:val="24"/>
        </w:rPr>
        <w:t>e，总排放量为1934万吨CO</w:t>
      </w:r>
      <w:r>
        <w:rPr>
          <w:rFonts w:ascii="宋体" w:eastAsia="宋体" w:hAnsi="宋体" w:hint="eastAsia"/>
          <w:sz w:val="24"/>
          <w:szCs w:val="24"/>
          <w:vertAlign w:val="subscript"/>
        </w:rPr>
        <w:t>2</w:t>
      </w:r>
      <w:r>
        <w:rPr>
          <w:rFonts w:ascii="宋体" w:eastAsia="宋体" w:hAnsi="宋体" w:hint="eastAsia"/>
          <w:sz w:val="24"/>
          <w:szCs w:val="24"/>
        </w:rPr>
        <w:t>e，排在水泥、石灰石膏、建筑卫生陶瓷、建筑技术玻璃之后，位列第5位。因此，烧结墙材的碳减排工作对建材行业早日实现碳达峰碳中和目标起到积极推动作用。</w:t>
      </w:r>
      <w:r>
        <w:rPr>
          <w:rFonts w:ascii="宋体" w:eastAsia="宋体" w:hAnsi="宋体"/>
          <w:sz w:val="24"/>
          <w:szCs w:val="24"/>
        </w:rPr>
        <w:t>目前，烧结</w:t>
      </w:r>
      <w:r>
        <w:rPr>
          <w:rFonts w:ascii="宋体" w:eastAsia="宋体" w:hAnsi="宋体" w:hint="eastAsia"/>
          <w:sz w:val="24"/>
          <w:szCs w:val="24"/>
        </w:rPr>
        <w:t>制品</w:t>
      </w:r>
      <w:r>
        <w:rPr>
          <w:rFonts w:ascii="宋体" w:eastAsia="宋体" w:hAnsi="宋体"/>
          <w:sz w:val="24"/>
          <w:szCs w:val="24"/>
        </w:rPr>
        <w:t>行业在温室气体排放核算标准方面尚属空白，为此，相关标准的制定对于规范生产企业二氧化碳排放核算、碳减排工作，促进建材行业顺利实现碳达峰碳中和工作将起到积极作用。</w:t>
      </w:r>
    </w:p>
    <w:p w14:paraId="54100E6F" w14:textId="77777777" w:rsidR="00784CB6" w:rsidRDefault="00000000">
      <w:pPr>
        <w:pStyle w:val="1"/>
        <w:numPr>
          <w:ilvl w:val="0"/>
          <w:numId w:val="11"/>
        </w:numPr>
        <w:spacing w:beforeLines="50" w:before="120" w:afterLines="50" w:after="120" w:line="500" w:lineRule="exact"/>
        <w:rPr>
          <w:sz w:val="30"/>
          <w:szCs w:val="30"/>
        </w:rPr>
      </w:pPr>
      <w:r>
        <w:rPr>
          <w:rFonts w:hint="eastAsia"/>
          <w:sz w:val="30"/>
          <w:szCs w:val="30"/>
        </w:rPr>
        <w:t>工作简况</w:t>
      </w:r>
    </w:p>
    <w:p w14:paraId="0706AB91" w14:textId="77777777" w:rsidR="00784CB6" w:rsidRDefault="00000000">
      <w:pPr>
        <w:pStyle w:val="20"/>
        <w:spacing w:before="120" w:after="120" w:line="500" w:lineRule="exact"/>
      </w:pPr>
      <w:r>
        <w:rPr>
          <w:rFonts w:hint="eastAsia"/>
        </w:rPr>
        <w:t>（一）任务来源</w:t>
      </w:r>
    </w:p>
    <w:p w14:paraId="25F09B17" w14:textId="2BAFC3BF"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在《国家标准化管理委员会关于下达碳达峰碳中和国家标准专项计划及相关标准外文版计划的通知》（国标委发〔2023〕6</w:t>
      </w:r>
      <w:r>
        <w:rPr>
          <w:rFonts w:ascii="宋体" w:eastAsia="宋体" w:hAnsi="宋体"/>
          <w:sz w:val="24"/>
          <w:szCs w:val="24"/>
        </w:rPr>
        <w:t>7</w:t>
      </w:r>
      <w:r>
        <w:rPr>
          <w:rFonts w:ascii="宋体" w:eastAsia="宋体" w:hAnsi="宋体" w:hint="eastAsia"/>
          <w:sz w:val="24"/>
          <w:szCs w:val="24"/>
        </w:rPr>
        <w:t>号）中，下达了国家标准《碳排放核算与报告要求 第X部分：烧结墙体材料生产企业》编制计划，计划号2023</w:t>
      </w:r>
      <w:r>
        <w:rPr>
          <w:rFonts w:ascii="宋体" w:eastAsia="宋体" w:hAnsi="宋体"/>
          <w:sz w:val="24"/>
          <w:szCs w:val="24"/>
        </w:rPr>
        <w:t>2548</w:t>
      </w:r>
      <w:r>
        <w:rPr>
          <w:rFonts w:ascii="宋体" w:eastAsia="宋体" w:hAnsi="宋体" w:hint="eastAsia"/>
          <w:sz w:val="24"/>
          <w:szCs w:val="24"/>
        </w:rPr>
        <w:t>-</w:t>
      </w:r>
      <w:r>
        <w:rPr>
          <w:rFonts w:ascii="宋体" w:eastAsia="宋体" w:hAnsi="宋体"/>
          <w:sz w:val="24"/>
          <w:szCs w:val="24"/>
        </w:rPr>
        <w:t>T</w:t>
      </w:r>
      <w:r>
        <w:rPr>
          <w:rFonts w:ascii="宋体" w:eastAsia="宋体" w:hAnsi="宋体" w:hint="eastAsia"/>
          <w:sz w:val="24"/>
          <w:szCs w:val="24"/>
        </w:rPr>
        <w:t>-</w:t>
      </w:r>
      <w:r>
        <w:rPr>
          <w:rFonts w:ascii="宋体" w:eastAsia="宋体" w:hAnsi="宋体"/>
          <w:sz w:val="24"/>
          <w:szCs w:val="24"/>
        </w:rPr>
        <w:t>609</w:t>
      </w:r>
      <w:r>
        <w:rPr>
          <w:rFonts w:ascii="宋体" w:eastAsia="宋体" w:hAnsi="宋体" w:hint="eastAsia"/>
          <w:sz w:val="24"/>
          <w:szCs w:val="24"/>
        </w:rPr>
        <w:t>，完成时限</w:t>
      </w:r>
      <w:r>
        <w:rPr>
          <w:rFonts w:ascii="宋体" w:eastAsia="宋体" w:hAnsi="宋体"/>
          <w:sz w:val="24"/>
          <w:szCs w:val="24"/>
        </w:rPr>
        <w:t>18</w:t>
      </w:r>
      <w:r>
        <w:rPr>
          <w:rFonts w:ascii="宋体" w:eastAsia="宋体" w:hAnsi="宋体" w:hint="eastAsia"/>
          <w:sz w:val="24"/>
          <w:szCs w:val="24"/>
        </w:rPr>
        <w:t>个月。</w:t>
      </w:r>
      <w:r w:rsidR="00E01D87">
        <w:rPr>
          <w:rFonts w:ascii="宋体" w:eastAsia="宋体" w:hAnsi="宋体" w:hint="eastAsia"/>
          <w:sz w:val="24"/>
          <w:szCs w:val="24"/>
        </w:rPr>
        <w:t>标准由</w:t>
      </w:r>
      <w:r w:rsidR="00E01D87" w:rsidRPr="00E01D87">
        <w:rPr>
          <w:rFonts w:ascii="宋体" w:eastAsia="宋体" w:hAnsi="宋体" w:hint="eastAsia"/>
          <w:sz w:val="24"/>
          <w:szCs w:val="24"/>
        </w:rPr>
        <w:t>中国建筑材料联合会提出</w:t>
      </w:r>
      <w:r w:rsidR="00E01D87">
        <w:rPr>
          <w:rFonts w:ascii="宋体" w:eastAsia="宋体" w:hAnsi="宋体" w:hint="eastAsia"/>
          <w:sz w:val="24"/>
          <w:szCs w:val="24"/>
        </w:rPr>
        <w:t>，</w:t>
      </w:r>
      <w:r w:rsidR="00E01D87" w:rsidRPr="00E01D87">
        <w:rPr>
          <w:rFonts w:ascii="宋体" w:eastAsia="宋体" w:hAnsi="宋体" w:hint="eastAsia"/>
          <w:sz w:val="24"/>
          <w:szCs w:val="24"/>
        </w:rPr>
        <w:t>中国建筑材料联合会</w:t>
      </w:r>
      <w:r w:rsidR="00E01D87">
        <w:rPr>
          <w:rFonts w:ascii="宋体" w:eastAsia="宋体" w:hAnsi="宋体" w:hint="eastAsia"/>
          <w:sz w:val="24"/>
          <w:szCs w:val="24"/>
        </w:rPr>
        <w:t>和全国碳排放管理标准化技术委员会归口，</w:t>
      </w:r>
      <w:r>
        <w:rPr>
          <w:rFonts w:ascii="宋体" w:eastAsia="宋体" w:hAnsi="宋体" w:hint="eastAsia"/>
          <w:sz w:val="24"/>
          <w:szCs w:val="24"/>
        </w:rPr>
        <w:t>中国国检测试控股集团西安有限公司负责</w:t>
      </w:r>
      <w:r w:rsidR="00E01D87">
        <w:rPr>
          <w:rFonts w:ascii="宋体" w:eastAsia="宋体" w:hAnsi="宋体" w:hint="eastAsia"/>
          <w:sz w:val="24"/>
          <w:szCs w:val="24"/>
        </w:rPr>
        <w:t>起草</w:t>
      </w:r>
      <w:r>
        <w:rPr>
          <w:rFonts w:ascii="宋体" w:eastAsia="宋体" w:hAnsi="宋体" w:hint="eastAsia"/>
          <w:sz w:val="24"/>
          <w:szCs w:val="24"/>
        </w:rPr>
        <w:t>。</w:t>
      </w:r>
    </w:p>
    <w:p w14:paraId="1A7A8ACA" w14:textId="77777777" w:rsidR="00784CB6" w:rsidRDefault="00000000">
      <w:pPr>
        <w:pStyle w:val="20"/>
        <w:spacing w:before="120" w:after="120" w:line="500" w:lineRule="exact"/>
      </w:pPr>
      <w:r>
        <w:rPr>
          <w:rFonts w:hint="eastAsia"/>
        </w:rPr>
        <w:t>（二）工作过程</w:t>
      </w:r>
    </w:p>
    <w:p w14:paraId="6A2B1B28" w14:textId="77777777" w:rsidR="00784CB6" w:rsidRDefault="00000000">
      <w:pPr>
        <w:spacing w:line="5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①</w:t>
      </w:r>
      <w:r>
        <w:rPr>
          <w:rFonts w:ascii="宋体" w:eastAsia="宋体" w:hAnsi="宋体" w:cs="Times New Roman"/>
          <w:sz w:val="24"/>
          <w:szCs w:val="24"/>
        </w:rPr>
        <w:t>20</w:t>
      </w:r>
      <w:r>
        <w:rPr>
          <w:rFonts w:ascii="宋体" w:eastAsia="宋体" w:hAnsi="宋体" w:cs="Times New Roman" w:hint="eastAsia"/>
          <w:sz w:val="24"/>
          <w:szCs w:val="24"/>
        </w:rPr>
        <w:t>2</w:t>
      </w:r>
      <w:r>
        <w:rPr>
          <w:rFonts w:ascii="宋体" w:eastAsia="宋体" w:hAnsi="宋体" w:cs="Times New Roman"/>
          <w:sz w:val="24"/>
          <w:szCs w:val="24"/>
        </w:rPr>
        <w:t>3</w:t>
      </w:r>
      <w:r>
        <w:rPr>
          <w:rFonts w:ascii="宋体" w:eastAsia="宋体" w:hAnsi="宋体" w:cs="Times New Roman" w:hint="eastAsia"/>
          <w:sz w:val="24"/>
          <w:szCs w:val="24"/>
        </w:rPr>
        <w:t>年</w:t>
      </w:r>
      <w:r>
        <w:rPr>
          <w:rFonts w:ascii="宋体" w:eastAsia="宋体" w:hAnsi="宋体" w:cs="Times New Roman"/>
          <w:sz w:val="24"/>
          <w:szCs w:val="24"/>
        </w:rPr>
        <w:t>12</w:t>
      </w:r>
      <w:r>
        <w:rPr>
          <w:rFonts w:ascii="宋体" w:eastAsia="宋体" w:hAnsi="宋体" w:cs="Times New Roman" w:hint="eastAsia"/>
          <w:sz w:val="24"/>
          <w:szCs w:val="24"/>
        </w:rPr>
        <w:t>月，标准立项，成立标准工作组。</w:t>
      </w:r>
    </w:p>
    <w:p w14:paraId="12BDBB14" w14:textId="77777777" w:rsidR="00784CB6" w:rsidRDefault="00000000">
      <w:pPr>
        <w:spacing w:line="5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②2</w:t>
      </w:r>
      <w:r>
        <w:rPr>
          <w:rFonts w:ascii="宋体" w:eastAsia="宋体" w:hAnsi="宋体" w:cs="Times New Roman"/>
          <w:sz w:val="24"/>
          <w:szCs w:val="24"/>
        </w:rPr>
        <w:t>024年3</w:t>
      </w:r>
      <w:r>
        <w:rPr>
          <w:rFonts w:ascii="宋体" w:eastAsia="宋体" w:hAnsi="宋体" w:cs="Times New Roman" w:hint="eastAsia"/>
          <w:sz w:val="24"/>
          <w:szCs w:val="24"/>
        </w:rPr>
        <w:t>月</w:t>
      </w:r>
      <w:r>
        <w:rPr>
          <w:rFonts w:ascii="宋体" w:eastAsia="宋体" w:hAnsi="宋体" w:cs="Times New Roman"/>
          <w:sz w:val="24"/>
          <w:szCs w:val="24"/>
        </w:rPr>
        <w:t>22</w:t>
      </w:r>
      <w:r>
        <w:rPr>
          <w:rFonts w:ascii="宋体" w:eastAsia="宋体" w:hAnsi="宋体" w:cs="Times New Roman" w:hint="eastAsia"/>
          <w:sz w:val="24"/>
          <w:szCs w:val="24"/>
        </w:rPr>
        <w:t>日</w:t>
      </w:r>
      <w:r>
        <w:rPr>
          <w:rFonts w:ascii="宋体" w:eastAsia="宋体" w:hAnsi="宋体" w:cs="Times New Roman"/>
          <w:sz w:val="24"/>
          <w:szCs w:val="24"/>
        </w:rPr>
        <w:t>，</w:t>
      </w:r>
      <w:r>
        <w:rPr>
          <w:rFonts w:ascii="宋体" w:eastAsia="宋体" w:hAnsi="宋体" w:cs="Times New Roman" w:hint="eastAsia"/>
          <w:sz w:val="24"/>
          <w:szCs w:val="24"/>
        </w:rPr>
        <w:t>建材联合会组织召开建材行业碳达峰碳中和专项国家标准工作会，提出对本批碳标准按照“三集中”要求进行管理。会上，由标准工作组汇报标准草案，专家组对标准草案提出意见及建议。根据国标委要求以及从标准适用范围角度考虑，通过讨论将标准名称变更为《温室气体</w:t>
      </w:r>
      <w:r>
        <w:rPr>
          <w:rFonts w:ascii="宋体" w:eastAsia="宋体" w:hAnsi="宋体" w:hint="eastAsia"/>
          <w:sz w:val="24"/>
          <w:szCs w:val="24"/>
        </w:rPr>
        <w:t>排放核算与报告要求 第X部分：烧结墙体屋面及道路用建筑材料生产企业</w:t>
      </w:r>
      <w:r>
        <w:rPr>
          <w:rFonts w:ascii="宋体" w:eastAsia="宋体" w:hAnsi="宋体" w:cs="Times New Roman" w:hint="eastAsia"/>
          <w:sz w:val="24"/>
          <w:szCs w:val="24"/>
        </w:rPr>
        <w:t>》。</w:t>
      </w:r>
    </w:p>
    <w:p w14:paraId="13BEB72D" w14:textId="77777777" w:rsidR="00784CB6" w:rsidRDefault="00000000">
      <w:pPr>
        <w:spacing w:line="5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③2</w:t>
      </w:r>
      <w:r>
        <w:rPr>
          <w:rFonts w:ascii="宋体" w:eastAsia="宋体" w:hAnsi="宋体" w:cs="Times New Roman"/>
          <w:sz w:val="24"/>
          <w:szCs w:val="24"/>
        </w:rPr>
        <w:t>024</w:t>
      </w:r>
      <w:r>
        <w:rPr>
          <w:rFonts w:ascii="宋体" w:eastAsia="宋体" w:hAnsi="宋体" w:cs="Times New Roman" w:hint="eastAsia"/>
          <w:sz w:val="24"/>
          <w:szCs w:val="24"/>
        </w:rPr>
        <w:t>年</w:t>
      </w:r>
      <w:r>
        <w:rPr>
          <w:rFonts w:ascii="宋体" w:eastAsia="宋体" w:hAnsi="宋体" w:cs="Times New Roman"/>
          <w:sz w:val="24"/>
          <w:szCs w:val="24"/>
        </w:rPr>
        <w:t>4</w:t>
      </w:r>
      <w:r>
        <w:rPr>
          <w:rFonts w:ascii="宋体" w:eastAsia="宋体" w:hAnsi="宋体" w:cs="Times New Roman" w:hint="eastAsia"/>
          <w:sz w:val="24"/>
          <w:szCs w:val="24"/>
        </w:rPr>
        <w:t>月1</w:t>
      </w:r>
      <w:r>
        <w:rPr>
          <w:rFonts w:ascii="宋体" w:eastAsia="宋体" w:hAnsi="宋体" w:cs="Times New Roman"/>
          <w:sz w:val="24"/>
          <w:szCs w:val="24"/>
        </w:rPr>
        <w:t>2</w:t>
      </w:r>
      <w:r>
        <w:rPr>
          <w:rFonts w:ascii="宋体" w:eastAsia="宋体" w:hAnsi="宋体" w:cs="Times New Roman" w:hint="eastAsia"/>
          <w:sz w:val="24"/>
          <w:szCs w:val="24"/>
        </w:rPr>
        <w:t>日，组织召开标准启动会暨第一次工作会议，邀请行业专家、科研院所、生产企业等共4</w:t>
      </w:r>
      <w:r>
        <w:rPr>
          <w:rFonts w:ascii="宋体" w:eastAsia="宋体" w:hAnsi="宋体" w:cs="Times New Roman"/>
          <w:sz w:val="24"/>
          <w:szCs w:val="24"/>
        </w:rPr>
        <w:t>0</w:t>
      </w:r>
      <w:r>
        <w:rPr>
          <w:rFonts w:ascii="宋体" w:eastAsia="宋体" w:hAnsi="宋体" w:cs="Times New Roman" w:hint="eastAsia"/>
          <w:sz w:val="24"/>
          <w:szCs w:val="24"/>
        </w:rPr>
        <w:t>余人参会，会议讨论了标准草案并对编制时间节点提出具体要求。</w:t>
      </w:r>
    </w:p>
    <w:p w14:paraId="1685E2B6" w14:textId="77777777" w:rsidR="00784CB6" w:rsidRDefault="00000000">
      <w:pPr>
        <w:spacing w:line="5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④202</w:t>
      </w:r>
      <w:r>
        <w:rPr>
          <w:rFonts w:ascii="宋体" w:eastAsia="宋体" w:hAnsi="宋体" w:cs="Times New Roman"/>
          <w:sz w:val="24"/>
          <w:szCs w:val="24"/>
        </w:rPr>
        <w:t>4</w:t>
      </w:r>
      <w:r>
        <w:rPr>
          <w:rFonts w:ascii="宋体" w:eastAsia="宋体" w:hAnsi="宋体" w:cs="Times New Roman" w:hint="eastAsia"/>
          <w:sz w:val="24"/>
          <w:szCs w:val="24"/>
        </w:rPr>
        <w:t>年</w:t>
      </w:r>
      <w:r>
        <w:rPr>
          <w:rFonts w:ascii="宋体" w:eastAsia="宋体" w:hAnsi="宋体" w:cs="Times New Roman"/>
          <w:sz w:val="24"/>
          <w:szCs w:val="24"/>
        </w:rPr>
        <w:t>4</w:t>
      </w:r>
      <w:r>
        <w:rPr>
          <w:rFonts w:ascii="宋体" w:eastAsia="宋体" w:hAnsi="宋体" w:cs="Times New Roman" w:hint="eastAsia"/>
          <w:sz w:val="24"/>
          <w:szCs w:val="24"/>
        </w:rPr>
        <w:t>月～</w:t>
      </w:r>
      <w:r>
        <w:rPr>
          <w:rFonts w:ascii="宋体" w:eastAsia="宋体" w:hAnsi="宋体" w:cs="Times New Roman"/>
          <w:sz w:val="24"/>
          <w:szCs w:val="24"/>
        </w:rPr>
        <w:t>5</w:t>
      </w:r>
      <w:r>
        <w:rPr>
          <w:rFonts w:ascii="宋体" w:eastAsia="宋体" w:hAnsi="宋体" w:cs="Times New Roman" w:hint="eastAsia"/>
          <w:sz w:val="24"/>
          <w:szCs w:val="24"/>
        </w:rPr>
        <w:t>月，开展典型样品取样、送检工作。</w:t>
      </w:r>
    </w:p>
    <w:p w14:paraId="29571DC9" w14:textId="77777777" w:rsidR="00784CB6" w:rsidRDefault="00000000">
      <w:pPr>
        <w:spacing w:line="5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lastRenderedPageBreak/>
        <w:t>⑤202</w:t>
      </w:r>
      <w:r>
        <w:rPr>
          <w:rFonts w:ascii="宋体" w:eastAsia="宋体" w:hAnsi="宋体" w:cs="Times New Roman"/>
          <w:sz w:val="24"/>
          <w:szCs w:val="24"/>
        </w:rPr>
        <w:t>4</w:t>
      </w:r>
      <w:r>
        <w:rPr>
          <w:rFonts w:ascii="宋体" w:eastAsia="宋体" w:hAnsi="宋体" w:cs="Times New Roman" w:hint="eastAsia"/>
          <w:sz w:val="24"/>
          <w:szCs w:val="24"/>
        </w:rPr>
        <w:t>年</w:t>
      </w:r>
      <w:r>
        <w:rPr>
          <w:rFonts w:ascii="宋体" w:eastAsia="宋体" w:hAnsi="宋体" w:cs="Times New Roman"/>
          <w:sz w:val="24"/>
          <w:szCs w:val="24"/>
        </w:rPr>
        <w:t>6</w:t>
      </w:r>
      <w:r>
        <w:rPr>
          <w:rFonts w:ascii="宋体" w:eastAsia="宋体" w:hAnsi="宋体" w:cs="Times New Roman" w:hint="eastAsia"/>
          <w:sz w:val="24"/>
          <w:szCs w:val="24"/>
        </w:rPr>
        <w:t>月，标准征求意见阶段。</w:t>
      </w:r>
    </w:p>
    <w:p w14:paraId="0E1E6E4E" w14:textId="77777777" w:rsidR="00784CB6" w:rsidRDefault="00000000">
      <w:pPr>
        <w:pStyle w:val="20"/>
        <w:spacing w:before="120" w:after="120" w:line="500" w:lineRule="exact"/>
      </w:pPr>
      <w:r>
        <w:rPr>
          <w:rFonts w:hint="eastAsia"/>
        </w:rPr>
        <w:t>（三）主要参编单位、起草人及其分工</w:t>
      </w:r>
    </w:p>
    <w:p w14:paraId="407A6859"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cs="Times New Roman" w:hint="eastAsia"/>
          <w:sz w:val="24"/>
          <w:szCs w:val="24"/>
        </w:rPr>
        <w:t>标准计划下达后，由中国国检测试控股集团西安有限公司、北京国建联信认证中心有限公司牵头，成立了由科研院所、生产企业等单位共同组建的标准起草组。为顺利完成标准编制工作，明确了各起草单位的任务分工。具体分工情况见表1</w:t>
      </w:r>
      <w:r>
        <w:rPr>
          <w:rFonts w:ascii="宋体" w:eastAsia="宋体" w:hAnsi="宋体" w:hint="eastAsia"/>
          <w:sz w:val="24"/>
          <w:szCs w:val="24"/>
        </w:rPr>
        <w:t>。</w:t>
      </w:r>
    </w:p>
    <w:p w14:paraId="3301F925" w14:textId="77777777" w:rsidR="00784CB6" w:rsidRDefault="00000000">
      <w:pPr>
        <w:spacing w:line="520" w:lineRule="exact"/>
        <w:ind w:firstLineChars="200" w:firstLine="422"/>
        <w:jc w:val="center"/>
        <w:rPr>
          <w:rFonts w:ascii="宋体" w:eastAsia="宋体" w:hAnsi="宋体" w:cs="Times New Roman"/>
          <w:b/>
          <w:szCs w:val="21"/>
        </w:rPr>
      </w:pPr>
      <w:r>
        <w:rPr>
          <w:rFonts w:ascii="宋体" w:eastAsia="宋体" w:hAnsi="宋体" w:cs="Times New Roman" w:hint="eastAsia"/>
          <w:b/>
          <w:szCs w:val="21"/>
        </w:rPr>
        <w:t>表1   起草单位分工情况表</w:t>
      </w:r>
    </w:p>
    <w:tbl>
      <w:tblPr>
        <w:tblStyle w:val="aff4"/>
        <w:tblW w:w="0" w:type="auto"/>
        <w:jc w:val="center"/>
        <w:tblLook w:val="04A0" w:firstRow="1" w:lastRow="0" w:firstColumn="1" w:lastColumn="0" w:noHBand="0" w:noVBand="1"/>
      </w:tblPr>
      <w:tblGrid>
        <w:gridCol w:w="640"/>
        <w:gridCol w:w="3041"/>
        <w:gridCol w:w="1843"/>
        <w:gridCol w:w="2371"/>
        <w:gridCol w:w="1109"/>
      </w:tblGrid>
      <w:tr w:rsidR="00784CB6" w14:paraId="7470D0D8" w14:textId="77777777">
        <w:trPr>
          <w:trHeight w:val="421"/>
          <w:jc w:val="center"/>
        </w:trPr>
        <w:tc>
          <w:tcPr>
            <w:tcW w:w="640" w:type="dxa"/>
            <w:vAlign w:val="center"/>
          </w:tcPr>
          <w:p w14:paraId="6DBFDFF9"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序号</w:t>
            </w:r>
          </w:p>
        </w:tc>
        <w:tc>
          <w:tcPr>
            <w:tcW w:w="3041" w:type="dxa"/>
            <w:vAlign w:val="center"/>
          </w:tcPr>
          <w:p w14:paraId="750043FF"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起草单位名称</w:t>
            </w:r>
          </w:p>
        </w:tc>
        <w:tc>
          <w:tcPr>
            <w:tcW w:w="1843" w:type="dxa"/>
            <w:vAlign w:val="center"/>
          </w:tcPr>
          <w:p w14:paraId="263D873F"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起草人</w:t>
            </w:r>
          </w:p>
        </w:tc>
        <w:tc>
          <w:tcPr>
            <w:tcW w:w="2371" w:type="dxa"/>
            <w:vAlign w:val="center"/>
          </w:tcPr>
          <w:p w14:paraId="217A4E3C"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承担任务</w:t>
            </w:r>
          </w:p>
        </w:tc>
        <w:tc>
          <w:tcPr>
            <w:tcW w:w="1109" w:type="dxa"/>
            <w:vAlign w:val="center"/>
          </w:tcPr>
          <w:p w14:paraId="6C181F2C"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备注</w:t>
            </w:r>
          </w:p>
        </w:tc>
      </w:tr>
      <w:tr w:rsidR="00784CB6" w14:paraId="52B6F50B" w14:textId="77777777">
        <w:trPr>
          <w:trHeight w:val="1369"/>
          <w:jc w:val="center"/>
        </w:trPr>
        <w:tc>
          <w:tcPr>
            <w:tcW w:w="640" w:type="dxa"/>
            <w:vAlign w:val="center"/>
          </w:tcPr>
          <w:p w14:paraId="2708E408"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1</w:t>
            </w:r>
          </w:p>
        </w:tc>
        <w:tc>
          <w:tcPr>
            <w:tcW w:w="3041" w:type="dxa"/>
            <w:vAlign w:val="center"/>
          </w:tcPr>
          <w:p w14:paraId="1B20E099"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中国国检测试控股集团西安有限公司</w:t>
            </w:r>
          </w:p>
        </w:tc>
        <w:tc>
          <w:tcPr>
            <w:tcW w:w="1843" w:type="dxa"/>
            <w:vAlign w:val="center"/>
          </w:tcPr>
          <w:p w14:paraId="57551151" w14:textId="77777777" w:rsidR="00784CB6" w:rsidRDefault="00000000">
            <w:pPr>
              <w:rPr>
                <w:rFonts w:ascii="宋体" w:eastAsia="宋体" w:hAnsi="宋体" w:cs="Times New Roman"/>
                <w:szCs w:val="21"/>
              </w:rPr>
            </w:pPr>
            <w:r>
              <w:rPr>
                <w:rFonts w:ascii="宋体" w:eastAsia="宋体" w:hAnsi="宋体" w:cs="Times New Roman"/>
                <w:szCs w:val="21"/>
              </w:rPr>
              <w:t>吴冰</w:t>
            </w:r>
            <w:r>
              <w:rPr>
                <w:rFonts w:ascii="宋体" w:eastAsia="宋体" w:hAnsi="宋体" w:cs="Times New Roman" w:hint="eastAsia"/>
                <w:szCs w:val="21"/>
              </w:rPr>
              <w:t>、白虎斌</w:t>
            </w:r>
          </w:p>
        </w:tc>
        <w:tc>
          <w:tcPr>
            <w:tcW w:w="2371" w:type="dxa"/>
            <w:vAlign w:val="center"/>
          </w:tcPr>
          <w:p w14:paraId="7586320E" w14:textId="77777777" w:rsidR="00784CB6" w:rsidRDefault="00000000">
            <w:pPr>
              <w:jc w:val="left"/>
              <w:rPr>
                <w:rFonts w:ascii="宋体" w:eastAsia="宋体" w:hAnsi="宋体" w:cs="Times New Roman"/>
                <w:szCs w:val="21"/>
              </w:rPr>
            </w:pPr>
            <w:r>
              <w:rPr>
                <w:rFonts w:ascii="宋体" w:eastAsia="宋体" w:hAnsi="宋体" w:cs="Times New Roman" w:hint="eastAsia"/>
                <w:szCs w:val="21"/>
              </w:rPr>
              <w:t>负责构架标准结构，结合行业特点提出适用的标准指标体系；提出标准验证点；收集整理碳政策及相关行业碳核算标准、规范等；控制各阶段完成时间节点。</w:t>
            </w:r>
          </w:p>
        </w:tc>
        <w:tc>
          <w:tcPr>
            <w:tcW w:w="1109" w:type="dxa"/>
            <w:vAlign w:val="center"/>
          </w:tcPr>
          <w:p w14:paraId="383B36ED"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检测、科研机构</w:t>
            </w:r>
          </w:p>
        </w:tc>
      </w:tr>
      <w:tr w:rsidR="00784CB6" w14:paraId="549F9479" w14:textId="77777777">
        <w:trPr>
          <w:trHeight w:val="509"/>
          <w:jc w:val="center"/>
        </w:trPr>
        <w:tc>
          <w:tcPr>
            <w:tcW w:w="640" w:type="dxa"/>
            <w:vAlign w:val="center"/>
          </w:tcPr>
          <w:p w14:paraId="4FE383C2"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2</w:t>
            </w:r>
          </w:p>
        </w:tc>
        <w:tc>
          <w:tcPr>
            <w:tcW w:w="3041" w:type="dxa"/>
            <w:vAlign w:val="center"/>
          </w:tcPr>
          <w:p w14:paraId="66427E5E" w14:textId="77777777" w:rsidR="00784CB6" w:rsidRDefault="00000000">
            <w:pPr>
              <w:jc w:val="center"/>
              <w:rPr>
                <w:rFonts w:ascii="宋体" w:eastAsia="宋体" w:hAnsi="宋体" w:cs="Times New Roman"/>
                <w:szCs w:val="21"/>
              </w:rPr>
            </w:pPr>
            <w:r>
              <w:rPr>
                <w:rFonts w:ascii="Times New Roman" w:eastAsia="宋体" w:hAnsi="Times New Roman" w:cs="Times New Roman"/>
                <w:color w:val="000000"/>
                <w:szCs w:val="21"/>
              </w:rPr>
              <w:t>北京国建联信认证中心有限公司</w:t>
            </w:r>
          </w:p>
        </w:tc>
        <w:tc>
          <w:tcPr>
            <w:tcW w:w="1843" w:type="dxa"/>
            <w:vAlign w:val="center"/>
          </w:tcPr>
          <w:p w14:paraId="1FF6D4A3" w14:textId="77777777" w:rsidR="00784CB6" w:rsidRDefault="00000000">
            <w:pPr>
              <w:rPr>
                <w:rFonts w:ascii="宋体" w:eastAsia="宋体" w:hAnsi="宋体" w:cs="Times New Roman"/>
                <w:szCs w:val="21"/>
              </w:rPr>
            </w:pPr>
            <w:r>
              <w:rPr>
                <w:rFonts w:ascii="宋体" w:eastAsia="宋体" w:hAnsi="宋体" w:cs="Times New Roman" w:hint="eastAsia"/>
                <w:szCs w:val="21"/>
              </w:rPr>
              <w:t>颜小波</w:t>
            </w:r>
          </w:p>
        </w:tc>
        <w:tc>
          <w:tcPr>
            <w:tcW w:w="2371" w:type="dxa"/>
            <w:vAlign w:val="center"/>
          </w:tcPr>
          <w:p w14:paraId="5B4827B0" w14:textId="77777777" w:rsidR="00784CB6" w:rsidRDefault="00000000">
            <w:pPr>
              <w:jc w:val="left"/>
              <w:rPr>
                <w:rFonts w:ascii="宋体" w:eastAsia="宋体" w:hAnsi="宋体" w:cs="Times New Roman"/>
                <w:szCs w:val="21"/>
              </w:rPr>
            </w:pPr>
            <w:r>
              <w:rPr>
                <w:rFonts w:ascii="宋体" w:eastAsia="宋体" w:hAnsi="宋体" w:cs="Times New Roman" w:hint="eastAsia"/>
                <w:szCs w:val="21"/>
              </w:rPr>
              <w:t>参与标准指标体系搭建及相关资料收集整理工作。</w:t>
            </w:r>
          </w:p>
        </w:tc>
        <w:tc>
          <w:tcPr>
            <w:tcW w:w="1109" w:type="dxa"/>
            <w:vAlign w:val="center"/>
          </w:tcPr>
          <w:p w14:paraId="7A2766CC"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认证机构</w:t>
            </w:r>
          </w:p>
        </w:tc>
      </w:tr>
      <w:tr w:rsidR="00784CB6" w14:paraId="7CD81A4C" w14:textId="77777777">
        <w:trPr>
          <w:trHeight w:val="421"/>
          <w:jc w:val="center"/>
        </w:trPr>
        <w:tc>
          <w:tcPr>
            <w:tcW w:w="640" w:type="dxa"/>
            <w:vAlign w:val="center"/>
          </w:tcPr>
          <w:p w14:paraId="090FC33F" w14:textId="77777777" w:rsidR="00784CB6" w:rsidRDefault="00000000">
            <w:pPr>
              <w:jc w:val="center"/>
              <w:rPr>
                <w:rFonts w:ascii="宋体" w:eastAsia="宋体" w:hAnsi="宋体" w:cs="Times New Roman"/>
                <w:szCs w:val="21"/>
              </w:rPr>
            </w:pPr>
            <w:r>
              <w:rPr>
                <w:rFonts w:ascii="宋体" w:eastAsia="宋体" w:hAnsi="宋体" w:cs="Times New Roman"/>
                <w:szCs w:val="21"/>
              </w:rPr>
              <w:t>3</w:t>
            </w:r>
          </w:p>
        </w:tc>
        <w:tc>
          <w:tcPr>
            <w:tcW w:w="3041" w:type="dxa"/>
            <w:vAlign w:val="center"/>
          </w:tcPr>
          <w:p w14:paraId="3CC200D5"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东莞市永安环保科技有限公司</w:t>
            </w:r>
          </w:p>
        </w:tc>
        <w:tc>
          <w:tcPr>
            <w:tcW w:w="1843" w:type="dxa"/>
            <w:vAlign w:val="center"/>
          </w:tcPr>
          <w:p w14:paraId="79A6C703" w14:textId="77777777" w:rsidR="00784CB6" w:rsidRDefault="00784CB6">
            <w:pPr>
              <w:rPr>
                <w:rFonts w:ascii="宋体" w:eastAsia="宋体" w:hAnsi="宋体" w:cs="Times New Roman"/>
                <w:szCs w:val="21"/>
              </w:rPr>
            </w:pPr>
          </w:p>
        </w:tc>
        <w:tc>
          <w:tcPr>
            <w:tcW w:w="2371" w:type="dxa"/>
            <w:vAlign w:val="center"/>
          </w:tcPr>
          <w:p w14:paraId="0E2DC3EA" w14:textId="77777777" w:rsidR="00784CB6" w:rsidRDefault="00000000">
            <w:pPr>
              <w:jc w:val="left"/>
              <w:rPr>
                <w:rFonts w:ascii="宋体" w:eastAsia="宋体" w:hAnsi="宋体" w:cs="Times New Roman"/>
                <w:szCs w:val="21"/>
              </w:rPr>
            </w:pPr>
            <w:r>
              <w:rPr>
                <w:rFonts w:ascii="宋体" w:eastAsia="宋体" w:hAnsi="宋体" w:cs="Times New Roman" w:hint="eastAsia"/>
                <w:szCs w:val="21"/>
              </w:rPr>
              <w:t>配合标准验证工作</w:t>
            </w:r>
          </w:p>
        </w:tc>
        <w:tc>
          <w:tcPr>
            <w:tcW w:w="1109" w:type="dxa"/>
            <w:vAlign w:val="center"/>
          </w:tcPr>
          <w:p w14:paraId="0CC1AB5F" w14:textId="77777777" w:rsidR="00784CB6" w:rsidRDefault="00000000">
            <w:pPr>
              <w:jc w:val="center"/>
              <w:rPr>
                <w:rFonts w:ascii="宋体" w:eastAsia="宋体" w:hAnsi="宋体" w:cs="Times New Roman"/>
                <w:szCs w:val="21"/>
              </w:rPr>
            </w:pPr>
            <w:r>
              <w:rPr>
                <w:rFonts w:ascii="宋体" w:eastAsia="宋体" w:hAnsi="宋体" w:cs="Times New Roman" w:hint="eastAsia"/>
                <w:szCs w:val="21"/>
              </w:rPr>
              <w:t>生产企业</w:t>
            </w:r>
          </w:p>
        </w:tc>
      </w:tr>
      <w:tr w:rsidR="00784CB6" w14:paraId="6E693DA4" w14:textId="77777777">
        <w:trPr>
          <w:trHeight w:val="421"/>
          <w:jc w:val="center"/>
        </w:trPr>
        <w:tc>
          <w:tcPr>
            <w:tcW w:w="640" w:type="dxa"/>
            <w:vAlign w:val="center"/>
          </w:tcPr>
          <w:p w14:paraId="0975DE0F" w14:textId="77777777" w:rsidR="00784CB6" w:rsidRDefault="00000000">
            <w:pPr>
              <w:jc w:val="center"/>
              <w:rPr>
                <w:rFonts w:ascii="宋体" w:eastAsia="宋体" w:hAnsi="宋体" w:cs="Times New Roman"/>
                <w:szCs w:val="21"/>
              </w:rPr>
            </w:pPr>
            <w:r>
              <w:rPr>
                <w:rFonts w:ascii="宋体" w:eastAsia="宋体" w:hAnsi="宋体" w:cs="Times New Roman"/>
                <w:szCs w:val="21"/>
              </w:rPr>
              <w:t>4</w:t>
            </w:r>
          </w:p>
        </w:tc>
        <w:tc>
          <w:tcPr>
            <w:tcW w:w="3041" w:type="dxa"/>
            <w:vAlign w:val="center"/>
          </w:tcPr>
          <w:p w14:paraId="09D49016" w14:textId="77777777" w:rsidR="00784CB6" w:rsidRDefault="00000000">
            <w:pPr>
              <w:jc w:val="center"/>
              <w:rPr>
                <w:rFonts w:ascii="宋体" w:eastAsia="宋体" w:hAnsi="宋体" w:cs="Times New Roman"/>
                <w:szCs w:val="21"/>
              </w:rPr>
            </w:pPr>
            <w:r>
              <w:rPr>
                <w:rFonts w:ascii="宋体" w:eastAsia="宋体" w:hAnsi="宋体" w:cs="Times New Roman"/>
                <w:szCs w:val="21"/>
              </w:rPr>
              <w:t>…</w:t>
            </w:r>
          </w:p>
        </w:tc>
        <w:tc>
          <w:tcPr>
            <w:tcW w:w="1843" w:type="dxa"/>
            <w:vAlign w:val="center"/>
          </w:tcPr>
          <w:p w14:paraId="3AA85D08" w14:textId="77777777" w:rsidR="00784CB6" w:rsidRDefault="00784CB6">
            <w:pPr>
              <w:rPr>
                <w:rFonts w:ascii="宋体" w:eastAsia="宋体" w:hAnsi="宋体" w:cs="Times New Roman"/>
                <w:szCs w:val="21"/>
              </w:rPr>
            </w:pPr>
          </w:p>
        </w:tc>
        <w:tc>
          <w:tcPr>
            <w:tcW w:w="2371" w:type="dxa"/>
            <w:vAlign w:val="center"/>
          </w:tcPr>
          <w:p w14:paraId="6805C8DB" w14:textId="77777777" w:rsidR="00784CB6" w:rsidRDefault="00784CB6">
            <w:pPr>
              <w:jc w:val="left"/>
              <w:rPr>
                <w:rFonts w:ascii="宋体" w:eastAsia="宋体" w:hAnsi="宋体" w:cs="Times New Roman"/>
                <w:spacing w:val="-4"/>
                <w:szCs w:val="21"/>
              </w:rPr>
            </w:pPr>
          </w:p>
        </w:tc>
        <w:tc>
          <w:tcPr>
            <w:tcW w:w="1109" w:type="dxa"/>
            <w:vAlign w:val="center"/>
          </w:tcPr>
          <w:p w14:paraId="40F7684E" w14:textId="77777777" w:rsidR="00784CB6" w:rsidRDefault="00784CB6">
            <w:pPr>
              <w:jc w:val="center"/>
              <w:rPr>
                <w:rFonts w:ascii="宋体" w:eastAsia="宋体" w:hAnsi="宋体" w:cs="Times New Roman"/>
                <w:szCs w:val="21"/>
              </w:rPr>
            </w:pPr>
          </w:p>
        </w:tc>
      </w:tr>
    </w:tbl>
    <w:p w14:paraId="566EBD74" w14:textId="77777777" w:rsidR="00784CB6" w:rsidRDefault="00784CB6">
      <w:pPr>
        <w:pStyle w:val="2"/>
      </w:pPr>
    </w:p>
    <w:p w14:paraId="7166F529" w14:textId="77777777" w:rsidR="00784CB6" w:rsidRDefault="00000000">
      <w:pPr>
        <w:pStyle w:val="1"/>
        <w:numPr>
          <w:ilvl w:val="0"/>
          <w:numId w:val="11"/>
        </w:numPr>
        <w:spacing w:beforeLines="50" w:before="120" w:afterLines="50" w:after="120" w:line="500" w:lineRule="exact"/>
        <w:rPr>
          <w:sz w:val="30"/>
          <w:szCs w:val="30"/>
        </w:rPr>
      </w:pPr>
      <w:r>
        <w:rPr>
          <w:rFonts w:hint="eastAsia"/>
          <w:sz w:val="30"/>
          <w:szCs w:val="30"/>
        </w:rPr>
        <w:t>标准编制依据和原则</w:t>
      </w:r>
    </w:p>
    <w:p w14:paraId="15D826ED" w14:textId="77777777" w:rsidR="00784CB6" w:rsidRDefault="00000000">
      <w:pPr>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1</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编制依据</w:t>
      </w:r>
    </w:p>
    <w:p w14:paraId="2059FD7C"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本标准编制的政策依据主要包括：《关于完整准确全面贯彻新发展理念做好碳达峰碳中和工作的意见》，提出要</w:t>
      </w:r>
      <w:r>
        <w:rPr>
          <w:rFonts w:ascii="宋体" w:eastAsia="宋体" w:hAnsi="宋体"/>
          <w:sz w:val="24"/>
          <w:szCs w:val="24"/>
        </w:rPr>
        <w:t>“加快完善地区、行业、企业、产品等</w:t>
      </w:r>
      <w:r>
        <w:rPr>
          <w:rFonts w:ascii="宋体" w:eastAsia="宋体" w:hAnsi="宋体" w:hint="eastAsia"/>
          <w:sz w:val="24"/>
          <w:szCs w:val="24"/>
        </w:rPr>
        <w:t>碳排放核查核算报告标准，建立统一规范的碳核算体系”；《2030年前碳达峰行动方案》，提出要</w:t>
      </w:r>
      <w:r>
        <w:rPr>
          <w:rFonts w:ascii="宋体" w:eastAsia="宋体" w:hAnsi="宋体"/>
          <w:sz w:val="24"/>
          <w:szCs w:val="24"/>
        </w:rPr>
        <w:t>“</w:t>
      </w:r>
      <w:r>
        <w:rPr>
          <w:rFonts w:ascii="宋体" w:eastAsia="宋体" w:hAnsi="宋体" w:hint="eastAsia"/>
          <w:sz w:val="24"/>
          <w:szCs w:val="24"/>
        </w:rPr>
        <w:t>加强碳排放核算能力建设，深化核算方法研究，加快建立统一规范的碳排放核算体系”；《工业领域碳达峰实施方案》中，提出“建立健全工业领域碳达峰标准体系，重点制定基础通用、碳排放核算、低碳工艺技术等领域标准”；《国家标准化发展纲要》，指出要“加快完善地区、行业、企业、产品等碳排放核查核算标准”的要求，以及《关于加快建立统一规范的碳排放统计核算体系实施方案》《建材行业碳达峰实施方案》《建材工业“十四五”发展实施意见》《碳排放权交易管理办法（试行）》《固定资产投资项目节能审查办法》等文件对碳排放核算与报告的要求。</w:t>
      </w:r>
    </w:p>
    <w:p w14:paraId="375E380B"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lastRenderedPageBreak/>
        <w:t>本标准编制的技术依据主要有：</w:t>
      </w:r>
      <w:r>
        <w:rPr>
          <w:rFonts w:ascii="宋体" w:eastAsia="宋体" w:hAnsi="宋体"/>
          <w:sz w:val="24"/>
          <w:szCs w:val="24"/>
        </w:rPr>
        <w:t>1</w:t>
      </w:r>
      <w:r>
        <w:rPr>
          <w:rFonts w:ascii="宋体" w:eastAsia="宋体" w:hAnsi="宋体" w:hint="eastAsia"/>
          <w:sz w:val="24"/>
          <w:szCs w:val="24"/>
        </w:rPr>
        <w:t>）GBT 3215</w:t>
      </w:r>
      <w:r>
        <w:rPr>
          <w:rFonts w:ascii="宋体" w:eastAsia="宋体" w:hAnsi="宋体"/>
          <w:sz w:val="24"/>
          <w:szCs w:val="24"/>
        </w:rPr>
        <w:t>0</w:t>
      </w:r>
      <w:r>
        <w:rPr>
          <w:rFonts w:ascii="宋体" w:eastAsia="宋体" w:hAnsi="宋体" w:hint="eastAsia"/>
          <w:sz w:val="24"/>
          <w:szCs w:val="24"/>
        </w:rPr>
        <w:t>-2015《工业企业温室气体排放核算和报告通则》；</w:t>
      </w:r>
      <w:r>
        <w:rPr>
          <w:rFonts w:ascii="宋体" w:eastAsia="宋体" w:hAnsi="宋体"/>
          <w:sz w:val="24"/>
          <w:szCs w:val="24"/>
        </w:rPr>
        <w:t>2</w:t>
      </w:r>
      <w:r>
        <w:rPr>
          <w:rFonts w:ascii="宋体" w:eastAsia="宋体" w:hAnsi="宋体" w:hint="eastAsia"/>
          <w:sz w:val="24"/>
          <w:szCs w:val="24"/>
        </w:rPr>
        <w:t>）国家发展改革委已颁布实施的24个行业企业温室气体排放核算方法与报告指南；3）《</w:t>
      </w:r>
      <w:r>
        <w:rPr>
          <w:rFonts w:ascii="宋体" w:eastAsia="宋体" w:hAnsi="宋体"/>
          <w:sz w:val="24"/>
          <w:szCs w:val="24"/>
        </w:rPr>
        <w:t>IPCC</w:t>
      </w:r>
      <w:r>
        <w:rPr>
          <w:rFonts w:ascii="宋体" w:eastAsia="宋体" w:hAnsi="宋体" w:hint="eastAsia"/>
          <w:sz w:val="24"/>
          <w:szCs w:val="24"/>
        </w:rPr>
        <w:t>国家温室气体清单指南（</w:t>
      </w:r>
      <w:r>
        <w:rPr>
          <w:rFonts w:ascii="宋体" w:eastAsia="宋体" w:hAnsi="宋体"/>
          <w:sz w:val="24"/>
          <w:szCs w:val="24"/>
        </w:rPr>
        <w:t>2006</w:t>
      </w:r>
      <w:r>
        <w:rPr>
          <w:rFonts w:ascii="宋体" w:eastAsia="宋体" w:hAnsi="宋体" w:hint="eastAsia"/>
          <w:sz w:val="24"/>
          <w:szCs w:val="24"/>
        </w:rPr>
        <w:t>）》及2019年修订版、</w:t>
      </w:r>
      <w:r>
        <w:rPr>
          <w:rFonts w:ascii="宋体" w:eastAsia="宋体" w:hAnsi="宋体"/>
          <w:sz w:val="24"/>
          <w:szCs w:val="24"/>
        </w:rPr>
        <w:t>《中国二氧化碳清单研究（2005）》</w:t>
      </w:r>
      <w:r>
        <w:rPr>
          <w:rFonts w:ascii="宋体" w:eastAsia="宋体" w:hAnsi="宋体" w:hint="eastAsia"/>
          <w:sz w:val="24"/>
          <w:szCs w:val="24"/>
        </w:rPr>
        <w:t>《省级温室气体清单编制指南</w:t>
      </w:r>
      <w:r>
        <w:rPr>
          <w:rFonts w:ascii="宋体" w:eastAsia="宋体" w:hAnsi="宋体"/>
          <w:sz w:val="24"/>
          <w:szCs w:val="24"/>
        </w:rPr>
        <w:t>（试行）</w:t>
      </w:r>
      <w:r>
        <w:rPr>
          <w:rFonts w:ascii="宋体" w:eastAsia="宋体" w:hAnsi="宋体" w:hint="eastAsia"/>
          <w:sz w:val="24"/>
          <w:szCs w:val="24"/>
        </w:rPr>
        <w:t>》等；4）GB/T 1.1-20</w:t>
      </w:r>
      <w:r>
        <w:rPr>
          <w:rFonts w:ascii="宋体" w:eastAsia="宋体" w:hAnsi="宋体"/>
          <w:sz w:val="24"/>
          <w:szCs w:val="24"/>
        </w:rPr>
        <w:t>20</w:t>
      </w:r>
      <w:r>
        <w:rPr>
          <w:rFonts w:ascii="宋体" w:eastAsia="宋体" w:hAnsi="宋体" w:hint="eastAsia"/>
          <w:sz w:val="24"/>
          <w:szCs w:val="24"/>
        </w:rPr>
        <w:t>《标准化工作导则第1部分：标准的结构和编写》。</w:t>
      </w:r>
    </w:p>
    <w:p w14:paraId="3498C81A" w14:textId="77777777" w:rsidR="00784CB6" w:rsidRDefault="00000000">
      <w:pPr>
        <w:spacing w:beforeLines="50" w:before="12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2</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编制原则</w:t>
      </w:r>
    </w:p>
    <w:p w14:paraId="64415992"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本标准编制首先遵循科学性、合理性的原则；其次，与国家有关政策、标准规范保持协调一致；最后，充分考虑我国烧结制品企业温室气体排放源及相关数据的统计、企业检测条件等实际情况，兼顾可操作性。</w:t>
      </w:r>
    </w:p>
    <w:p w14:paraId="3A1624DC" w14:textId="77777777" w:rsidR="00784CB6" w:rsidRDefault="00000000">
      <w:pPr>
        <w:spacing w:beforeLines="50" w:before="12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3</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标准结构</w:t>
      </w:r>
    </w:p>
    <w:p w14:paraId="7E90D832"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本文件规定了烧结墙体屋面及道路用建筑材料生产企业温室气体排放量的核算和报告相关的术语和定义、核算边界、计量要求、核算步骤与核算方法、数据质量管理、报告内容和格式等内容。</w:t>
      </w:r>
    </w:p>
    <w:p w14:paraId="15C2F2EC"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其中，“4</w:t>
      </w:r>
      <w:r>
        <w:rPr>
          <w:rFonts w:ascii="宋体" w:eastAsia="宋体" w:hAnsi="宋体"/>
          <w:sz w:val="24"/>
          <w:szCs w:val="24"/>
        </w:rPr>
        <w:t>.</w:t>
      </w:r>
      <w:r>
        <w:rPr>
          <w:rFonts w:ascii="宋体" w:eastAsia="宋体" w:hAnsi="宋体" w:hint="eastAsia"/>
          <w:sz w:val="24"/>
          <w:szCs w:val="24"/>
        </w:rPr>
        <w:t>核算边界”，本条款明确了企业开展碳排放核算和报告的范围并给出核算边界图；“5</w:t>
      </w:r>
      <w:r>
        <w:rPr>
          <w:rFonts w:ascii="宋体" w:eastAsia="宋体" w:hAnsi="宋体"/>
          <w:sz w:val="24"/>
          <w:szCs w:val="24"/>
        </w:rPr>
        <w:t>.</w:t>
      </w:r>
      <w:r>
        <w:rPr>
          <w:rFonts w:ascii="宋体" w:eastAsia="宋体" w:hAnsi="宋体" w:hint="eastAsia"/>
          <w:sz w:val="24"/>
          <w:szCs w:val="24"/>
        </w:rPr>
        <w:t>计量要求”，计量合规性是开展碳排放核算工作的前提条件，本条款提出对计量参数识别、计量要求及相关监测管理的规定；“6</w:t>
      </w:r>
      <w:r>
        <w:rPr>
          <w:rFonts w:ascii="宋体" w:eastAsia="宋体" w:hAnsi="宋体"/>
          <w:sz w:val="24"/>
          <w:szCs w:val="24"/>
        </w:rPr>
        <w:t>.</w:t>
      </w:r>
      <w:r>
        <w:rPr>
          <w:rFonts w:ascii="宋体" w:eastAsia="宋体" w:hAnsi="宋体" w:hint="eastAsia"/>
          <w:sz w:val="24"/>
          <w:szCs w:val="24"/>
        </w:rPr>
        <w:t>核算步骤与核算方法”，本条款给出燃料燃烧、过程、购入/输出电力和热力的碳排放量计算公式以及相关活动数据、排放因子取值要求；“7</w:t>
      </w:r>
      <w:r>
        <w:rPr>
          <w:rFonts w:ascii="宋体" w:eastAsia="宋体" w:hAnsi="宋体"/>
          <w:sz w:val="24"/>
          <w:szCs w:val="24"/>
        </w:rPr>
        <w:t>.</w:t>
      </w:r>
      <w:r>
        <w:rPr>
          <w:rFonts w:ascii="宋体" w:eastAsia="宋体" w:hAnsi="宋体" w:hint="eastAsia"/>
          <w:sz w:val="24"/>
          <w:szCs w:val="24"/>
        </w:rPr>
        <w:t>数据质量管理”，本条款提出对数据质量管理工作的建议；“8</w:t>
      </w:r>
      <w:r>
        <w:rPr>
          <w:rFonts w:ascii="宋体" w:eastAsia="宋体" w:hAnsi="宋体"/>
          <w:sz w:val="24"/>
          <w:szCs w:val="24"/>
        </w:rPr>
        <w:t>.</w:t>
      </w:r>
      <w:r>
        <w:rPr>
          <w:rFonts w:ascii="宋体" w:eastAsia="宋体" w:hAnsi="宋体" w:hint="eastAsia"/>
          <w:sz w:val="24"/>
          <w:szCs w:val="24"/>
        </w:rPr>
        <w:t>报告内容和格式”，本条款提出编写碳排放报告的基本要求，并通过附录A（资料性）给出模板；“附录B</w:t>
      </w:r>
      <w:r>
        <w:rPr>
          <w:rFonts w:ascii="宋体" w:eastAsia="宋体" w:hAnsi="宋体"/>
          <w:sz w:val="24"/>
          <w:szCs w:val="24"/>
        </w:rPr>
        <w:t xml:space="preserve"> （资料性）”</w:t>
      </w:r>
      <w:r>
        <w:rPr>
          <w:rFonts w:ascii="宋体" w:eastAsia="宋体" w:hAnsi="宋体" w:hint="eastAsia"/>
          <w:sz w:val="24"/>
          <w:szCs w:val="24"/>
        </w:rPr>
        <w:t>给出相关参数缺省值；“附录C（资料性）”给出数据质量控制计划模板。</w:t>
      </w:r>
    </w:p>
    <w:p w14:paraId="72EE0BD7" w14:textId="77777777" w:rsidR="00784CB6" w:rsidRDefault="00000000">
      <w:pPr>
        <w:pStyle w:val="1"/>
        <w:numPr>
          <w:ilvl w:val="0"/>
          <w:numId w:val="11"/>
        </w:numPr>
        <w:spacing w:beforeLines="60" w:before="144" w:afterLines="50" w:after="120" w:line="500" w:lineRule="exact"/>
        <w:rPr>
          <w:sz w:val="30"/>
          <w:szCs w:val="30"/>
        </w:rPr>
      </w:pPr>
      <w:r>
        <w:rPr>
          <w:rFonts w:hint="eastAsia"/>
          <w:sz w:val="30"/>
          <w:szCs w:val="30"/>
        </w:rPr>
        <w:t>标准主要内容</w:t>
      </w:r>
    </w:p>
    <w:p w14:paraId="31493B94" w14:textId="77777777" w:rsidR="00784CB6" w:rsidRDefault="00000000">
      <w:pPr>
        <w:spacing w:beforeLines="50" w:before="120"/>
        <w:rPr>
          <w:rFonts w:asciiTheme="majorHAnsi" w:eastAsia="黑体" w:hAnsiTheme="majorHAnsi" w:cstheme="majorBidi"/>
          <w:b/>
          <w:bCs/>
          <w:sz w:val="24"/>
          <w:szCs w:val="32"/>
        </w:rPr>
      </w:pPr>
      <w:bookmarkStart w:id="0" w:name="_Toc17233325"/>
      <w:bookmarkStart w:id="1" w:name="_Toc24884218"/>
      <w:bookmarkStart w:id="2" w:name="_Toc26718930"/>
      <w:bookmarkStart w:id="3" w:name="_Toc24884211"/>
      <w:bookmarkStart w:id="4" w:name="_Toc26986530"/>
      <w:bookmarkStart w:id="5" w:name="_Toc97190718"/>
      <w:bookmarkStart w:id="6" w:name="_Toc17233333"/>
      <w:bookmarkStart w:id="7" w:name="_Toc26986771"/>
      <w:bookmarkStart w:id="8" w:name="_Toc26648465"/>
      <w:r>
        <w:rPr>
          <w:rFonts w:asciiTheme="majorHAnsi" w:eastAsia="黑体" w:hAnsiTheme="majorHAnsi" w:cstheme="majorBidi" w:hint="eastAsia"/>
          <w:b/>
          <w:bCs/>
          <w:sz w:val="24"/>
          <w:szCs w:val="32"/>
        </w:rPr>
        <w:t>1</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范围</w:t>
      </w:r>
      <w:bookmarkEnd w:id="0"/>
      <w:bookmarkEnd w:id="1"/>
      <w:bookmarkEnd w:id="2"/>
      <w:bookmarkEnd w:id="3"/>
      <w:bookmarkEnd w:id="4"/>
      <w:bookmarkEnd w:id="5"/>
      <w:bookmarkEnd w:id="6"/>
      <w:bookmarkEnd w:id="7"/>
      <w:bookmarkEnd w:id="8"/>
    </w:p>
    <w:p w14:paraId="617F7BFF"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本文件规定了烧结墙体屋面及道路用建筑材料生产企业温室气体排放量的核算和报告相关的术语、核算边界、计量方法、核算步骤与核算方法、数据质量管理、报告内容和格式等内容。</w:t>
      </w:r>
    </w:p>
    <w:p w14:paraId="72C4E0AB"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本文件适用于烧结墙体屋面及道路用建筑材料生产企业温室气体排放量的核算和</w:t>
      </w:r>
      <w:r>
        <w:rPr>
          <w:rFonts w:ascii="宋体" w:eastAsia="宋体" w:hAnsi="宋体" w:hint="eastAsia"/>
          <w:sz w:val="24"/>
          <w:szCs w:val="24"/>
        </w:rPr>
        <w:lastRenderedPageBreak/>
        <w:t>报告。</w:t>
      </w:r>
    </w:p>
    <w:p w14:paraId="05EBE3B4" w14:textId="77777777" w:rsidR="00784CB6" w:rsidRDefault="00000000">
      <w:pPr>
        <w:spacing w:beforeLines="50" w:before="12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2</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规范性引用文件</w:t>
      </w:r>
    </w:p>
    <w:p w14:paraId="458B334D"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根据本文件编制工作需要，引用如下文件：</w:t>
      </w:r>
    </w:p>
    <w:p w14:paraId="083BF2AF"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GB/T 213  煤的发热量测定方法</w:t>
      </w:r>
    </w:p>
    <w:p w14:paraId="7ED9D1A7"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GB/T 384  石油产品热值测定法</w:t>
      </w:r>
    </w:p>
    <w:p w14:paraId="054CE8B6"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GB/T</w:t>
      </w:r>
      <w:r>
        <w:rPr>
          <w:rFonts w:ascii="宋体" w:eastAsia="宋体" w:hAnsi="宋体"/>
          <w:sz w:val="24"/>
          <w:szCs w:val="24"/>
        </w:rPr>
        <w:t xml:space="preserve"> </w:t>
      </w:r>
      <w:r>
        <w:rPr>
          <w:rFonts w:ascii="宋体" w:eastAsia="宋体" w:hAnsi="宋体" w:hint="eastAsia"/>
          <w:sz w:val="24"/>
          <w:szCs w:val="24"/>
        </w:rPr>
        <w:t>6422</w:t>
      </w:r>
      <w:r>
        <w:rPr>
          <w:rFonts w:ascii="宋体" w:eastAsia="宋体" w:hAnsi="宋体"/>
          <w:sz w:val="24"/>
          <w:szCs w:val="24"/>
        </w:rPr>
        <w:t xml:space="preserve">  </w:t>
      </w:r>
      <w:r>
        <w:rPr>
          <w:rFonts w:ascii="宋体" w:eastAsia="宋体" w:hAnsi="宋体" w:hint="eastAsia"/>
          <w:sz w:val="24"/>
          <w:szCs w:val="24"/>
        </w:rPr>
        <w:t>用能设备能量测试导则</w:t>
      </w:r>
    </w:p>
    <w:p w14:paraId="7288371A"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GB 17167  用能单位能源计量器具配备和管理通则</w:t>
      </w:r>
    </w:p>
    <w:p w14:paraId="6EB6C7FE"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GB/T 11062  天然气发热量、密度、相对密度和沃泊指数的计算方法</w:t>
      </w:r>
    </w:p>
    <w:p w14:paraId="75235CAC"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GB/T</w:t>
      </w:r>
      <w:r>
        <w:rPr>
          <w:rFonts w:ascii="宋体" w:eastAsia="宋体" w:hAnsi="宋体"/>
          <w:sz w:val="24"/>
          <w:szCs w:val="24"/>
        </w:rPr>
        <w:t xml:space="preserve"> </w:t>
      </w:r>
      <w:r>
        <w:rPr>
          <w:rFonts w:ascii="宋体" w:eastAsia="宋体" w:hAnsi="宋体" w:hint="eastAsia"/>
          <w:sz w:val="24"/>
          <w:szCs w:val="24"/>
        </w:rPr>
        <w:t>15316</w:t>
      </w:r>
      <w:r>
        <w:rPr>
          <w:rFonts w:ascii="宋体" w:eastAsia="宋体" w:hAnsi="宋体"/>
          <w:sz w:val="24"/>
          <w:szCs w:val="24"/>
        </w:rPr>
        <w:t xml:space="preserve">  </w:t>
      </w:r>
      <w:r>
        <w:rPr>
          <w:rFonts w:ascii="宋体" w:eastAsia="宋体" w:hAnsi="宋体" w:hint="eastAsia"/>
          <w:sz w:val="24"/>
          <w:szCs w:val="24"/>
        </w:rPr>
        <w:t>节能监测技术通则</w:t>
      </w:r>
    </w:p>
    <w:p w14:paraId="68A726FF"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sz w:val="24"/>
          <w:szCs w:val="24"/>
        </w:rPr>
        <w:t xml:space="preserve">GB 30526  </w:t>
      </w:r>
      <w:r>
        <w:rPr>
          <w:rFonts w:ascii="宋体" w:eastAsia="宋体" w:hAnsi="宋体" w:hint="eastAsia"/>
          <w:sz w:val="24"/>
          <w:szCs w:val="24"/>
        </w:rPr>
        <w:t>烧结墙体材料和泡沫玻璃单位产品能源消耗限额</w:t>
      </w:r>
      <w:r>
        <w:rPr>
          <w:rFonts w:ascii="宋体" w:eastAsia="宋体" w:hAnsi="宋体"/>
          <w:sz w:val="24"/>
          <w:szCs w:val="24"/>
        </w:rPr>
        <w:t xml:space="preserve">  </w:t>
      </w:r>
    </w:p>
    <w:p w14:paraId="6F8FEFDB"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GB/T 32150</w:t>
      </w:r>
      <w:r>
        <w:rPr>
          <w:rFonts w:ascii="宋体" w:eastAsia="宋体" w:hAnsi="宋体"/>
          <w:sz w:val="24"/>
          <w:szCs w:val="24"/>
        </w:rPr>
        <w:t>-2015</w:t>
      </w:r>
      <w:r>
        <w:rPr>
          <w:rFonts w:ascii="宋体" w:eastAsia="宋体" w:hAnsi="宋体" w:hint="eastAsia"/>
          <w:sz w:val="24"/>
          <w:szCs w:val="24"/>
        </w:rPr>
        <w:t xml:space="preserve"> 工业企业碳排放核算和报告通则</w:t>
      </w:r>
    </w:p>
    <w:p w14:paraId="7FF1A1FC"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GB/T 31350  烧结墙体屋面材料企业能源计量器具配备和管理导则</w:t>
      </w:r>
    </w:p>
    <w:p w14:paraId="73E04372"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以上引用文件中，凡注日期的引用文件，仅该日期对应的版本适用于本标准；不注日期的引用文件，其最新版本（包括所有的修改单）适用于本文件。</w:t>
      </w:r>
    </w:p>
    <w:p w14:paraId="7D8852D6" w14:textId="77777777" w:rsidR="00784CB6" w:rsidRDefault="00000000">
      <w:pPr>
        <w:spacing w:beforeLines="50" w:before="12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3</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术语和定义</w:t>
      </w:r>
    </w:p>
    <w:p w14:paraId="71DEE7A1"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sz w:val="24"/>
          <w:szCs w:val="24"/>
        </w:rPr>
        <w:t>在充分考虑本标准适用范围以及参考其他相关标准定义的基础上给出本标准的术语和定义。</w:t>
      </w:r>
      <w:r>
        <w:rPr>
          <w:rFonts w:ascii="宋体" w:eastAsia="宋体" w:hAnsi="宋体" w:hint="eastAsia"/>
          <w:sz w:val="24"/>
          <w:szCs w:val="24"/>
        </w:rPr>
        <w:t>为方便标准使用，其中的“报告主体”、“燃料燃烧”、“过程排放”、“购入的电力、热力产生的排放”、“输出的电力、热力产生的排放”、“活动数据”、“排放因子”、“碳氧化率”等术语和定义均源于GB/T 32150</w:t>
      </w:r>
      <w:r>
        <w:rPr>
          <w:rFonts w:ascii="宋体" w:eastAsia="宋体" w:hAnsi="宋体"/>
          <w:sz w:val="24"/>
          <w:szCs w:val="24"/>
        </w:rPr>
        <w:t>-2015</w:t>
      </w:r>
      <w:r>
        <w:rPr>
          <w:rFonts w:ascii="宋体" w:eastAsia="宋体" w:hAnsi="宋体" w:hint="eastAsia"/>
          <w:sz w:val="24"/>
          <w:szCs w:val="24"/>
        </w:rPr>
        <w:t>。</w:t>
      </w:r>
    </w:p>
    <w:p w14:paraId="0F69107D" w14:textId="77777777" w:rsidR="00784CB6" w:rsidRDefault="00000000">
      <w:pPr>
        <w:spacing w:beforeLines="50" w:before="120"/>
        <w:rPr>
          <w:rFonts w:asciiTheme="majorHAnsi" w:eastAsia="黑体" w:hAnsiTheme="majorHAnsi" w:cstheme="majorBidi"/>
          <w:b/>
          <w:bCs/>
          <w:sz w:val="24"/>
          <w:szCs w:val="32"/>
        </w:rPr>
      </w:pPr>
      <w:r>
        <w:rPr>
          <w:rFonts w:asciiTheme="majorHAnsi" w:eastAsia="黑体" w:hAnsiTheme="majorHAnsi" w:cstheme="majorBidi"/>
          <w:b/>
          <w:bCs/>
          <w:sz w:val="24"/>
          <w:szCs w:val="32"/>
        </w:rPr>
        <w:t xml:space="preserve">4. </w:t>
      </w:r>
      <w:r>
        <w:rPr>
          <w:rFonts w:asciiTheme="majorHAnsi" w:eastAsia="黑体" w:hAnsiTheme="majorHAnsi" w:cstheme="majorBidi" w:hint="eastAsia"/>
          <w:b/>
          <w:bCs/>
          <w:sz w:val="24"/>
          <w:szCs w:val="32"/>
        </w:rPr>
        <w:t>核算边界</w:t>
      </w:r>
    </w:p>
    <w:p w14:paraId="4CAA4EC5"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核算边界为企业从原料制备到成品堆放的全部生产过程中各种二氧化碳排放量，不包括生活过程中引起的二氧化碳排放量。</w:t>
      </w:r>
    </w:p>
    <w:p w14:paraId="3C9CC0B8"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基于可计量的统计期进行数据统计，一般情况下应以财务年为统计期。二氧化碳排放量核算化石燃料、含能固废燃烧排放量，碳酸盐分解排放量，净购入电力和热力产生的二氧化碳排放量，核算边界见图1。</w:t>
      </w:r>
    </w:p>
    <w:p w14:paraId="649A34EC"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注：若脱硫、基建、技改等辅助生产系统和过程的电力消耗量未单独计量，则电力消耗量取上述辅助生产系统过程与主要生产系统电力消耗量之和。</w:t>
      </w:r>
    </w:p>
    <w:p w14:paraId="0AED3906" w14:textId="77777777" w:rsidR="00784CB6" w:rsidRDefault="00784CB6">
      <w:pPr>
        <w:pStyle w:val="2"/>
      </w:pPr>
    </w:p>
    <w:p w14:paraId="49B15540" w14:textId="77777777" w:rsidR="00784CB6" w:rsidRDefault="00000000">
      <w:pPr>
        <w:ind w:firstLineChars="200" w:firstLine="480"/>
        <w:rPr>
          <w:rFonts w:ascii="宋体" w:eastAsia="宋体" w:hAnsi="宋体"/>
          <w:sz w:val="24"/>
          <w:szCs w:val="24"/>
        </w:rPr>
      </w:pPr>
      <w:r>
        <w:rPr>
          <w:rFonts w:ascii="宋体" w:eastAsia="宋体" w:hAnsi="宋体"/>
          <w:noProof/>
          <w:sz w:val="24"/>
          <w:szCs w:val="24"/>
        </w:rPr>
        <w:lastRenderedPageBreak/>
        <w:drawing>
          <wp:inline distT="0" distB="0" distL="0" distR="0" wp14:anchorId="382518C9" wp14:editId="0234AD57">
            <wp:extent cx="5116830" cy="254825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171721" cy="2575909"/>
                    </a:xfrm>
                    <a:prstGeom prst="rect">
                      <a:avLst/>
                    </a:prstGeom>
                  </pic:spPr>
                </pic:pic>
              </a:graphicData>
            </a:graphic>
          </wp:inline>
        </w:drawing>
      </w:r>
    </w:p>
    <w:p w14:paraId="33204953" w14:textId="77777777" w:rsidR="00784CB6" w:rsidRDefault="00000000">
      <w:pPr>
        <w:spacing w:line="500" w:lineRule="exact"/>
        <w:ind w:firstLineChars="200" w:firstLine="420"/>
        <w:jc w:val="center"/>
        <w:rPr>
          <w:rFonts w:ascii="宋体" w:eastAsia="宋体" w:hAnsi="宋体"/>
          <w:szCs w:val="21"/>
        </w:rPr>
      </w:pPr>
      <w:r>
        <w:rPr>
          <w:rFonts w:ascii="宋体" w:eastAsia="宋体" w:hAnsi="宋体" w:hint="eastAsia"/>
          <w:szCs w:val="21"/>
        </w:rPr>
        <w:t>图1</w:t>
      </w:r>
      <w:r>
        <w:rPr>
          <w:rFonts w:ascii="宋体" w:eastAsia="宋体" w:hAnsi="宋体"/>
          <w:szCs w:val="21"/>
        </w:rPr>
        <w:t xml:space="preserve">  </w:t>
      </w:r>
      <w:r>
        <w:rPr>
          <w:rFonts w:ascii="宋体" w:eastAsia="宋体" w:hAnsi="宋体" w:hint="eastAsia"/>
          <w:szCs w:val="21"/>
        </w:rPr>
        <w:t>烧结墙体屋面及道路用建筑材料生产企业碳排放边界示意图</w:t>
      </w:r>
    </w:p>
    <w:p w14:paraId="78A9BD28" w14:textId="77777777" w:rsidR="00784CB6" w:rsidRDefault="00000000">
      <w:pPr>
        <w:spacing w:beforeLines="50" w:before="120"/>
        <w:rPr>
          <w:rFonts w:asciiTheme="majorHAnsi" w:eastAsia="黑体" w:hAnsiTheme="majorHAnsi" w:cstheme="majorBidi"/>
          <w:b/>
          <w:bCs/>
          <w:sz w:val="24"/>
          <w:szCs w:val="32"/>
        </w:rPr>
      </w:pPr>
      <w:r>
        <w:rPr>
          <w:rFonts w:asciiTheme="majorHAnsi" w:eastAsia="黑体" w:hAnsiTheme="majorHAnsi" w:cstheme="majorBidi"/>
          <w:b/>
          <w:bCs/>
          <w:sz w:val="24"/>
          <w:szCs w:val="32"/>
        </w:rPr>
        <w:t xml:space="preserve">5. </w:t>
      </w:r>
      <w:r>
        <w:rPr>
          <w:rFonts w:asciiTheme="majorHAnsi" w:eastAsia="黑体" w:hAnsiTheme="majorHAnsi" w:cstheme="majorBidi"/>
          <w:b/>
          <w:bCs/>
          <w:sz w:val="24"/>
          <w:szCs w:val="32"/>
        </w:rPr>
        <w:t>计量要求</w:t>
      </w:r>
    </w:p>
    <w:p w14:paraId="22CA96BA"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计量合规性是开展碳排放核算工作的前提条件，根据企业排放源的类型，对各种燃料（包括含能固废）、含碳酸盐成分的原料、购入/输出电力和热力的消耗量按照G</w:t>
      </w:r>
      <w:r>
        <w:rPr>
          <w:rFonts w:ascii="宋体" w:eastAsia="宋体" w:hAnsi="宋体"/>
          <w:sz w:val="24"/>
          <w:szCs w:val="24"/>
        </w:rPr>
        <w:t>B 17167</w:t>
      </w:r>
      <w:r>
        <w:rPr>
          <w:rFonts w:ascii="宋体" w:eastAsia="宋体" w:hAnsi="宋体" w:hint="eastAsia"/>
          <w:sz w:val="24"/>
          <w:szCs w:val="24"/>
        </w:rPr>
        <w:t>和G</w:t>
      </w:r>
      <w:r>
        <w:rPr>
          <w:rFonts w:ascii="宋体" w:eastAsia="宋体" w:hAnsi="宋体"/>
          <w:sz w:val="24"/>
          <w:szCs w:val="24"/>
        </w:rPr>
        <w:t>B/T 31350</w:t>
      </w:r>
      <w:r>
        <w:rPr>
          <w:rFonts w:ascii="宋体" w:eastAsia="宋体" w:hAnsi="宋体" w:hint="eastAsia"/>
          <w:sz w:val="24"/>
          <w:szCs w:val="24"/>
        </w:rPr>
        <w:t>标准要求配备计量器具，进行称量并建立统计台账。企业应按期进行检定/校准工作，保证数据质量和溯源要求。</w:t>
      </w:r>
      <w:bookmarkStart w:id="9" w:name="_Toc9957076"/>
      <w:bookmarkStart w:id="10" w:name="_Toc10036905"/>
      <w:bookmarkStart w:id="11" w:name="_Toc10092219"/>
      <w:bookmarkStart w:id="12" w:name="_Toc22115173"/>
      <w:r>
        <w:rPr>
          <w:rFonts w:ascii="宋体" w:eastAsia="宋体" w:hAnsi="宋体" w:hint="eastAsia"/>
          <w:sz w:val="24"/>
          <w:szCs w:val="24"/>
        </w:rPr>
        <w:t>为提高和规范企业计量管理工作，给出相应建议。</w:t>
      </w:r>
      <w:bookmarkEnd w:id="9"/>
      <w:bookmarkEnd w:id="10"/>
      <w:bookmarkEnd w:id="11"/>
      <w:bookmarkEnd w:id="12"/>
    </w:p>
    <w:p w14:paraId="51052653" w14:textId="77777777" w:rsidR="00784CB6" w:rsidRDefault="00000000">
      <w:pPr>
        <w:spacing w:beforeLines="50" w:before="12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6</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核算步骤与核算方法</w:t>
      </w:r>
    </w:p>
    <w:p w14:paraId="4D9C264D" w14:textId="77777777" w:rsidR="00784CB6" w:rsidRDefault="00000000">
      <w:pPr>
        <w:spacing w:beforeLines="50" w:before="12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6</w:t>
      </w:r>
      <w:r>
        <w:rPr>
          <w:rFonts w:asciiTheme="majorHAnsi" w:eastAsia="黑体" w:hAnsiTheme="majorHAnsi" w:cstheme="majorBidi"/>
          <w:b/>
          <w:bCs/>
          <w:sz w:val="24"/>
          <w:szCs w:val="32"/>
        </w:rPr>
        <w:t>.1</w:t>
      </w:r>
      <w:r>
        <w:rPr>
          <w:rFonts w:asciiTheme="majorHAnsi" w:eastAsia="黑体" w:hAnsiTheme="majorHAnsi" w:cstheme="majorBidi" w:hint="eastAsia"/>
          <w:b/>
          <w:bCs/>
          <w:sz w:val="24"/>
          <w:szCs w:val="32"/>
        </w:rPr>
        <w:t>核算步骤</w:t>
      </w:r>
    </w:p>
    <w:p w14:paraId="7A76443E"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企业进行企业碳排放核算和报告的工作流程包括以下步骤：</w:t>
      </w:r>
    </w:p>
    <w:p w14:paraId="2624EA6C"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（1）识别排放源；</w:t>
      </w:r>
    </w:p>
    <w:p w14:paraId="7141FA49"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收集活动数据；</w:t>
      </w:r>
    </w:p>
    <w:p w14:paraId="0B2BC68C"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（3）</w:t>
      </w:r>
      <w:r>
        <w:rPr>
          <w:rFonts w:ascii="宋体" w:eastAsia="宋体" w:hAnsi="宋体"/>
          <w:sz w:val="24"/>
          <w:szCs w:val="24"/>
        </w:rPr>
        <w:t>选择和获取排放因子数据；</w:t>
      </w:r>
    </w:p>
    <w:p w14:paraId="296C9E6F"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（4）分别计算燃料燃烧排放量、过程排放量、购入和输出电力及热力所对应的排放量；</w:t>
      </w:r>
    </w:p>
    <w:p w14:paraId="4706DD4B"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（5）汇总计算企业碳排放量。</w:t>
      </w:r>
    </w:p>
    <w:p w14:paraId="6D645F55" w14:textId="77777777" w:rsidR="00784CB6" w:rsidRDefault="00000000">
      <w:pPr>
        <w:spacing w:beforeLines="50" w:before="12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6</w:t>
      </w:r>
      <w:r>
        <w:rPr>
          <w:rFonts w:asciiTheme="majorHAnsi" w:eastAsia="黑体" w:hAnsiTheme="majorHAnsi" w:cstheme="majorBidi"/>
          <w:b/>
          <w:bCs/>
          <w:sz w:val="24"/>
          <w:szCs w:val="32"/>
        </w:rPr>
        <w:t xml:space="preserve">.2 </w:t>
      </w:r>
      <w:r>
        <w:rPr>
          <w:rFonts w:asciiTheme="majorHAnsi" w:eastAsia="黑体" w:hAnsiTheme="majorHAnsi" w:cstheme="majorBidi" w:hint="eastAsia"/>
          <w:b/>
          <w:bCs/>
          <w:sz w:val="24"/>
          <w:szCs w:val="32"/>
        </w:rPr>
        <w:t>核算方法</w:t>
      </w:r>
    </w:p>
    <w:p w14:paraId="3EAA3EF5"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企业温室气体排放包括燃料（包括含能固废）燃烧产生的碳排放，焙烧过程产生的碳排放，购入电力、热力产生的碳排放，同时扣除输出电力、热力所对应的排放量。企业温室气体排放总量按式（1）计算：</w:t>
      </w:r>
    </w:p>
    <w:p w14:paraId="243E193E" w14:textId="77777777" w:rsidR="00784CB6" w:rsidRDefault="00784CB6">
      <w:pPr>
        <w:pStyle w:val="2"/>
      </w:pPr>
    </w:p>
    <w:p w14:paraId="7D5B2A00" w14:textId="77777777" w:rsidR="00784CB6" w:rsidRDefault="00000000">
      <w:pPr>
        <w:pStyle w:val="afff4"/>
        <w:ind w:firstLine="420"/>
      </w:pPr>
      <m:oMathPara>
        <m:oMath>
          <m:r>
            <m:rPr>
              <m:sty m:val="p"/>
            </m:rPr>
            <w:rPr>
              <w:rFonts w:ascii="Cambria Math" w:hAnsi="Cambria Math"/>
            </w:rPr>
            <m:t xml:space="preserve">   E=</m:t>
          </m:r>
          <m:sSub>
            <m:sSubPr>
              <m:ctrlPr>
                <w:rPr>
                  <w:rFonts w:ascii="Cambria Math" w:hAnsi="Cambria Math"/>
                </w:rPr>
              </m:ctrlPr>
            </m:sSubPr>
            <m:e>
              <m:r>
                <w:rPr>
                  <w:rFonts w:ascii="Cambria Math" w:hAnsi="Cambria Math"/>
                </w:rPr>
                <m:t>E</m:t>
              </m:r>
            </m:e>
            <m:sub>
              <m:r>
                <m:rPr>
                  <m:sty m:val="p"/>
                </m:rPr>
                <w:rPr>
                  <w:rFonts w:ascii="Cambria Math" w:hAnsi="Cambria Math" w:hint="eastAsia"/>
                </w:rPr>
                <m:t>燃烧</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过程</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购入电</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购入热</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输出电</m:t>
              </m:r>
            </m:sub>
          </m:sSub>
          <m:r>
            <w:rPr>
              <w:rFonts w:ascii="Cambria Math" w:hAnsi="Cambria Math"/>
            </w:rPr>
            <m:t>-</m:t>
          </m:r>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输出热</m:t>
              </m:r>
            </m:sub>
          </m:sSub>
          <m:r>
            <w:rPr>
              <w:rFonts w:ascii="Cambria Math" w:hAnsi="Cambria Math"/>
            </w:rPr>
            <m:t>……………………….(1)</m:t>
          </m:r>
        </m:oMath>
      </m:oMathPara>
    </w:p>
    <w:p w14:paraId="2D6730F8" w14:textId="77777777" w:rsidR="00784CB6" w:rsidRDefault="00000000">
      <w:pPr>
        <w:pStyle w:val="afff6"/>
        <w:spacing w:before="120" w:after="120"/>
        <w:ind w:firstLine="420"/>
      </w:pPr>
      <w:r>
        <w:rPr>
          <w:rFonts w:hint="eastAsia"/>
        </w:rPr>
        <w:t>式中：</w:t>
      </w:r>
    </w:p>
    <w:p w14:paraId="6ACE7461" w14:textId="77777777" w:rsidR="00784CB6" w:rsidRDefault="00000000">
      <w:pPr>
        <w:pStyle w:val="afff4"/>
        <w:ind w:firstLine="420"/>
        <w:rPr>
          <w:rFonts w:ascii="Cambria Math" w:hAnsi="Cambria Math"/>
          <w:i/>
          <w:kern w:val="2"/>
          <w:szCs w:val="21"/>
        </w:rPr>
      </w:pPr>
      <m:oMath>
        <m:r>
          <m:rPr>
            <m:sty m:val="p"/>
          </m:rPr>
          <w:rPr>
            <w:rFonts w:ascii="Cambria Math" w:hAnsi="Cambria Math"/>
          </w:rPr>
          <m:t>E</m:t>
        </m:r>
      </m:oMath>
      <w:r>
        <w:rPr>
          <w:rFonts w:ascii="Cambria Math" w:hAnsi="Cambria Math" w:hint="eastAsia"/>
          <w:i/>
          <w:kern w:val="2"/>
          <w:szCs w:val="21"/>
        </w:rPr>
        <w:t>——</w:t>
      </w:r>
      <w:r>
        <w:rPr>
          <w:rFonts w:ascii="Cambria Math" w:hAnsi="Cambria Math" w:hint="eastAsia"/>
          <w:iCs/>
          <w:kern w:val="2"/>
          <w:szCs w:val="21"/>
        </w:rPr>
        <w:t>报告主体碳排放总量，单位为吨二氧化碳（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bookmarkStart w:id="13" w:name="_Hlk133397214"/>
    <w:p w14:paraId="0D53A8B9" w14:textId="77777777" w:rsidR="00784CB6" w:rsidRDefault="00000000">
      <w:pPr>
        <w:pStyle w:val="afff4"/>
        <w:spacing w:line="460" w:lineRule="exact"/>
        <w:ind w:firstLine="420"/>
        <w:rPr>
          <w:rFonts w:ascii="Cambria Math" w:hAnsi="Cambria Math"/>
          <w:i/>
          <w:kern w:val="2"/>
          <w:szCs w:val="21"/>
        </w:rPr>
      </w:pPr>
      <m:oMath>
        <m:sSub>
          <m:sSubPr>
            <m:ctrlPr>
              <w:rPr>
                <w:rFonts w:ascii="Cambria Math" w:hAnsi="Cambria Math"/>
              </w:rPr>
            </m:ctrlPr>
          </m:sSubPr>
          <m:e>
            <m:r>
              <w:rPr>
                <w:rFonts w:ascii="Cambria Math" w:hAnsi="Cambria Math"/>
              </w:rPr>
              <m:t>E</m:t>
            </m:r>
          </m:e>
          <m:sub>
            <m:r>
              <m:rPr>
                <m:sty m:val="p"/>
              </m:rPr>
              <w:rPr>
                <w:rFonts w:ascii="Cambria Math" w:hAnsi="Cambria Math" w:hint="eastAsia"/>
              </w:rPr>
              <m:t>燃烧</m:t>
            </m:r>
          </m:sub>
        </m:sSub>
      </m:oMath>
      <w:r>
        <w:rPr>
          <w:rFonts w:ascii="Cambria Math" w:hAnsi="Cambria Math"/>
          <w:i/>
          <w:kern w:val="2"/>
          <w:szCs w:val="21"/>
        </w:rPr>
        <w:t>——</w:t>
      </w:r>
      <w:bookmarkEnd w:id="13"/>
      <w:r>
        <w:rPr>
          <w:rFonts w:ascii="Cambria Math" w:hAnsi="Cambria Math" w:hint="eastAsia"/>
          <w:iCs/>
          <w:kern w:val="2"/>
          <w:szCs w:val="21"/>
        </w:rPr>
        <w:t>报告主体燃料燃烧产生的碳排放，单位为吨二氧化碳（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p w14:paraId="5D7C81DE" w14:textId="77777777" w:rsidR="00784CB6" w:rsidRDefault="00000000">
      <w:pPr>
        <w:pStyle w:val="afff4"/>
        <w:spacing w:line="460" w:lineRule="exact"/>
        <w:ind w:firstLine="420"/>
        <w:rPr>
          <w:rFonts w:ascii="Cambria Math" w:hAnsi="Cambria Math"/>
          <w:i/>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过程</m:t>
            </m:r>
          </m:sub>
        </m:sSub>
      </m:oMath>
      <w:r>
        <w:rPr>
          <w:rFonts w:ascii="Cambria Math" w:hAnsi="Cambria Math"/>
          <w:i/>
          <w:kern w:val="2"/>
          <w:szCs w:val="21"/>
        </w:rPr>
        <w:t>——</w:t>
      </w:r>
      <w:r>
        <w:rPr>
          <w:rFonts w:ascii="Cambria Math" w:hAnsi="Cambria Math" w:hint="eastAsia"/>
          <w:iCs/>
          <w:kern w:val="2"/>
          <w:szCs w:val="21"/>
        </w:rPr>
        <w:t>报告主体生产过程中原料碳酸盐分解产生的碳排放，单位为吨二氧化碳（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p w14:paraId="0C8F187D" w14:textId="77777777" w:rsidR="00784CB6" w:rsidRDefault="00000000">
      <w:pPr>
        <w:pStyle w:val="afff4"/>
        <w:spacing w:line="460" w:lineRule="exact"/>
        <w:ind w:firstLine="420"/>
        <w:rPr>
          <w:rFonts w:ascii="Cambria Math" w:hAnsi="Cambria Math"/>
          <w:i/>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购入电</m:t>
            </m:r>
          </m:sub>
        </m:sSub>
      </m:oMath>
      <w:r>
        <w:rPr>
          <w:rFonts w:ascii="Cambria Math" w:hAnsi="Cambria Math"/>
          <w:i/>
          <w:kern w:val="2"/>
          <w:szCs w:val="21"/>
        </w:rPr>
        <w:t>——</w:t>
      </w:r>
      <w:r>
        <w:rPr>
          <w:rFonts w:ascii="Cambria Math" w:hAnsi="Cambria Math" w:hint="eastAsia"/>
          <w:iCs/>
          <w:kern w:val="2"/>
          <w:szCs w:val="21"/>
        </w:rPr>
        <w:t>报告主体购入的电力所产生的碳排放，单位为吨二氧化碳（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p w14:paraId="68AB2A08" w14:textId="77777777" w:rsidR="00784CB6" w:rsidRDefault="00000000">
      <w:pPr>
        <w:pStyle w:val="afff4"/>
        <w:spacing w:line="460" w:lineRule="exact"/>
        <w:ind w:firstLine="420"/>
        <w:rPr>
          <w:rFonts w:ascii="Cambria Math" w:hAnsi="Cambria Math"/>
          <w:i/>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购入热</m:t>
            </m:r>
          </m:sub>
        </m:sSub>
      </m:oMath>
      <w:r>
        <w:rPr>
          <w:rFonts w:ascii="Cambria Math" w:hAnsi="Cambria Math"/>
          <w:i/>
          <w:kern w:val="2"/>
          <w:szCs w:val="21"/>
        </w:rPr>
        <w:t>——</w:t>
      </w:r>
      <w:r>
        <w:rPr>
          <w:rFonts w:ascii="Cambria Math" w:hAnsi="Cambria Math" w:hint="eastAsia"/>
          <w:iCs/>
          <w:kern w:val="2"/>
          <w:szCs w:val="21"/>
        </w:rPr>
        <w:t>报告主体购入的热力所产生的碳排放，单位为吨二氧化碳（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p w14:paraId="09785EB5" w14:textId="77777777" w:rsidR="00784CB6" w:rsidRDefault="00000000">
      <w:pPr>
        <w:pStyle w:val="afff4"/>
        <w:spacing w:line="460" w:lineRule="exact"/>
        <w:ind w:firstLine="420"/>
        <w:rPr>
          <w:rFonts w:ascii="Cambria Math" w:hAnsi="Cambria Math"/>
          <w:i/>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输出电</m:t>
            </m:r>
          </m:sub>
        </m:sSub>
      </m:oMath>
      <w:r>
        <w:rPr>
          <w:rFonts w:ascii="Cambria Math" w:hAnsi="Cambria Math"/>
          <w:i/>
          <w:kern w:val="2"/>
          <w:szCs w:val="21"/>
        </w:rPr>
        <w:t>——</w:t>
      </w:r>
      <w:r>
        <w:rPr>
          <w:rFonts w:ascii="Cambria Math" w:hAnsi="Cambria Math" w:hint="eastAsia"/>
          <w:iCs/>
          <w:kern w:val="2"/>
          <w:szCs w:val="21"/>
        </w:rPr>
        <w:t>报告主体输出的电力所产生的碳排放，单位为吨二氧化碳（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p w14:paraId="69D60B83" w14:textId="77777777" w:rsidR="00784CB6" w:rsidRDefault="00000000">
      <w:pPr>
        <w:pStyle w:val="afff4"/>
        <w:spacing w:line="46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输出热</m:t>
            </m:r>
          </m:sub>
        </m:sSub>
      </m:oMath>
      <w:r>
        <w:rPr>
          <w:rFonts w:ascii="Cambria Math" w:hAnsi="Cambria Math"/>
          <w:i/>
          <w:kern w:val="2"/>
          <w:szCs w:val="21"/>
        </w:rPr>
        <w:t>——</w:t>
      </w:r>
      <w:r>
        <w:rPr>
          <w:rFonts w:ascii="Cambria Math" w:hAnsi="Cambria Math" w:hint="eastAsia"/>
          <w:iCs/>
          <w:kern w:val="2"/>
          <w:szCs w:val="21"/>
        </w:rPr>
        <w:t>报告主体输出的热力所产生的碳排放，单位为吨二氧化碳（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p w14:paraId="53847E8D" w14:textId="77777777" w:rsidR="00784CB6" w:rsidRDefault="00000000">
      <w:pPr>
        <w:spacing w:beforeLines="100" w:before="24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6</w:t>
      </w:r>
      <w:r>
        <w:rPr>
          <w:rFonts w:asciiTheme="majorHAnsi" w:eastAsia="黑体" w:hAnsiTheme="majorHAnsi" w:cstheme="majorBidi"/>
          <w:b/>
          <w:bCs/>
          <w:sz w:val="24"/>
          <w:szCs w:val="32"/>
        </w:rPr>
        <w:t xml:space="preserve">.2.1 </w:t>
      </w:r>
      <w:r>
        <w:rPr>
          <w:rFonts w:asciiTheme="majorHAnsi" w:eastAsia="黑体" w:hAnsiTheme="majorHAnsi" w:cstheme="majorBidi" w:hint="eastAsia"/>
          <w:b/>
          <w:bCs/>
          <w:sz w:val="24"/>
          <w:szCs w:val="32"/>
        </w:rPr>
        <w:t>燃料燃烧排放量</w:t>
      </w:r>
    </w:p>
    <w:p w14:paraId="1CF7B886"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燃料燃烧产生的碳排放量是核算期内各种燃料燃烧产生的碳排放量之和，其中燃料燃烧的活动数据是核算和报告期内各种燃料的消耗量与平均发热量的乘积，燃料消耗量根据企业能源消费台帐或财务报表确定。具备条件的企业宜开展低位发热量的检测或委托专业机构进行检测，也可采用与相关方结算凭证中提供的实测值。如采用实测，化石燃料低位发热量检测按GB/T 213、GB/T 384、GB/T 11062等规定进行。不具备检测条件的企业，可采用本文件提供的化石燃料平均低位发热量缺省值（见附表B.1）。单位热值含碳量和碳氧化率企业一般不进行实测，也可采用附表B.1给出的缺省值计算排放因子。燃料燃烧排放量按式（2）～（4）计算：</w:t>
      </w:r>
    </w:p>
    <w:p w14:paraId="666EA33A" w14:textId="77777777" w:rsidR="00784CB6" w:rsidRDefault="00000000">
      <w:pPr>
        <w:pStyle w:val="afff4"/>
        <w:ind w:firstLineChars="0" w:firstLine="0"/>
      </w:pPr>
      <m:oMathPara>
        <m:oMath>
          <m:r>
            <w:rPr>
              <w:rFonts w:ascii="Cambria Math" w:hAnsi="Cambria Math"/>
            </w:rPr>
            <m:t xml:space="preserve">                              </m:t>
          </m:r>
          <m:sSub>
            <m:sSubPr>
              <m:ctrlPr>
                <w:rPr>
                  <w:rFonts w:ascii="Cambria Math" w:hAnsi="Cambria Math"/>
                </w:rPr>
              </m:ctrlPr>
            </m:sSubPr>
            <m:e>
              <m:r>
                <w:rPr>
                  <w:rFonts w:ascii="Cambria Math" w:hAnsi="Cambria Math"/>
                </w:rPr>
                <m:t>E</m:t>
              </m:r>
            </m:e>
            <m:sub>
              <m:r>
                <m:rPr>
                  <m:sty m:val="p"/>
                </m:rPr>
                <w:rPr>
                  <w:rFonts w:ascii="Cambria Math" w:hAnsi="Cambria Math" w:hint="eastAsia"/>
                </w:rPr>
                <m:t>燃烧</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AD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rPr>
                    <m:t>i</m:t>
                  </m:r>
                </m:sub>
              </m:sSub>
              <m:r>
                <w:rPr>
                  <w:rFonts w:ascii="Cambria Math" w:hAnsi="Cambria Math"/>
                </w:rPr>
                <m:t>)</m:t>
              </m:r>
            </m:e>
          </m:nary>
          <m:r>
            <w:rPr>
              <w:rFonts w:ascii="Cambria Math" w:hAnsi="Cambria Math"/>
            </w:rPr>
            <m:t>…………………………………….(2)</m:t>
          </m:r>
        </m:oMath>
      </m:oMathPara>
    </w:p>
    <w:p w14:paraId="3D78CAE7" w14:textId="77777777" w:rsidR="00784CB6" w:rsidRDefault="00000000">
      <w:pPr>
        <w:pStyle w:val="afff4"/>
        <w:ind w:firstLine="420"/>
      </w:pPr>
      <w:r>
        <w:rPr>
          <w:rFonts w:hint="eastAsia"/>
        </w:rPr>
        <w:t>式中：</w:t>
      </w:r>
    </w:p>
    <w:p w14:paraId="5E0CC9CC" w14:textId="77777777" w:rsidR="00784CB6" w:rsidRDefault="00000000">
      <w:pPr>
        <w:pStyle w:val="afff4"/>
        <w:spacing w:line="440" w:lineRule="exact"/>
        <w:ind w:firstLine="420"/>
        <w:rPr>
          <w:rFonts w:ascii="Cambria Math" w:hAnsi="Cambria Math"/>
          <w:i/>
          <w:kern w:val="2"/>
          <w:szCs w:val="21"/>
        </w:rPr>
      </w:pPr>
      <w:bookmarkStart w:id="14" w:name="_Hlk133398497"/>
      <w:r>
        <w:rPr>
          <w:rFonts w:ascii="Cambria Math" w:hAnsi="Cambria Math" w:hint="eastAsia"/>
          <w:kern w:val="2"/>
          <w:szCs w:val="21"/>
        </w:rPr>
        <w:t>E</w:t>
      </w:r>
      <w:r>
        <w:rPr>
          <w:rFonts w:ascii="Cambria Math" w:hAnsi="Cambria Math"/>
          <w:kern w:val="2"/>
          <w:szCs w:val="21"/>
          <w:vertAlign w:val="subscript"/>
        </w:rPr>
        <w:t>燃烧</w:t>
      </w:r>
      <w:bookmarkEnd w:id="14"/>
      <w:r>
        <w:rPr>
          <w:rFonts w:ascii="Cambria Math" w:hAnsi="Cambria Math"/>
          <w:i/>
          <w:kern w:val="2"/>
          <w:szCs w:val="21"/>
        </w:rPr>
        <w:t>——</w:t>
      </w:r>
      <w:r>
        <w:rPr>
          <w:rFonts w:ascii="Cambria Math" w:hAnsi="Cambria Math" w:hint="eastAsia"/>
          <w:iCs/>
          <w:kern w:val="2"/>
          <w:szCs w:val="21"/>
        </w:rPr>
        <w:t>核算和报告期内消耗的燃料燃烧产生的碳排放量，单位为吨二氧化碳（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bookmarkStart w:id="15" w:name="_Hlk133398008"/>
    <w:p w14:paraId="2BA674B2" w14:textId="77777777" w:rsidR="00784CB6" w:rsidRDefault="00000000">
      <w:pPr>
        <w:pStyle w:val="afff4"/>
        <w:spacing w:line="44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AD</m:t>
            </m:r>
          </m:e>
          <m:sub>
            <m:r>
              <w:rPr>
                <w:rFonts w:ascii="Cambria Math" w:hAnsi="Cambria Math"/>
              </w:rPr>
              <m:t>i</m:t>
            </m:r>
          </m:sub>
        </m:sSub>
      </m:oMath>
      <w:r>
        <w:rPr>
          <w:rFonts w:ascii="Cambria Math" w:hAnsi="Cambria Math"/>
          <w:i/>
          <w:kern w:val="2"/>
          <w:szCs w:val="21"/>
        </w:rPr>
        <w:t>——</w:t>
      </w:r>
      <w:r>
        <w:rPr>
          <w:rFonts w:ascii="Cambria Math" w:hAnsi="Cambria Math" w:hint="eastAsia"/>
          <w:iCs/>
          <w:kern w:val="2"/>
          <w:szCs w:val="21"/>
        </w:rPr>
        <w:t>核算和报告期内消耗的第</w:t>
      </w:r>
      <w:proofErr w:type="spellStart"/>
      <w:r>
        <w:rPr>
          <w:rFonts w:ascii="Cambria Math" w:hAnsi="Cambria Math" w:hint="eastAsia"/>
          <w:kern w:val="2"/>
          <w:szCs w:val="21"/>
        </w:rPr>
        <w:t>i</w:t>
      </w:r>
      <w:proofErr w:type="spellEnd"/>
      <w:r>
        <w:rPr>
          <w:rFonts w:ascii="Cambria Math" w:hAnsi="Cambria Math" w:hint="eastAsia"/>
          <w:iCs/>
          <w:kern w:val="2"/>
          <w:szCs w:val="21"/>
        </w:rPr>
        <w:t>种燃料的活动水平，单位为吉焦（</w:t>
      </w:r>
      <w:r>
        <w:rPr>
          <w:rFonts w:ascii="Cambria Math" w:hAnsi="Cambria Math" w:hint="eastAsia"/>
          <w:iCs/>
          <w:kern w:val="2"/>
          <w:szCs w:val="21"/>
        </w:rPr>
        <w:t>GJ</w:t>
      </w:r>
      <w:r>
        <w:rPr>
          <w:rFonts w:ascii="Cambria Math" w:hAnsi="Cambria Math" w:hint="eastAsia"/>
          <w:iCs/>
          <w:kern w:val="2"/>
          <w:szCs w:val="21"/>
        </w:rPr>
        <w:t>）；</w:t>
      </w:r>
    </w:p>
    <w:p w14:paraId="2BD7A57C" w14:textId="77777777" w:rsidR="00784CB6" w:rsidRDefault="00000000">
      <w:pPr>
        <w:pStyle w:val="afff4"/>
        <w:spacing w:line="440" w:lineRule="exact"/>
        <w:ind w:firstLine="420"/>
        <w:rPr>
          <w:rFonts w:ascii="Cambria Math" w:hAnsi="Cambria Math"/>
          <w:iCs/>
          <w:kern w:val="2"/>
          <w:szCs w:val="21"/>
          <w:vertAlign w:val="subscript"/>
        </w:rPr>
      </w:pPr>
      <m:oMath>
        <m:sSub>
          <m:sSubPr>
            <m:ctrlPr>
              <w:rPr>
                <w:rFonts w:ascii="Cambria Math" w:hAnsi="Cambria Math"/>
                <w:i/>
              </w:rPr>
            </m:ctrlPr>
          </m:sSubPr>
          <m:e>
            <m:r>
              <w:rPr>
                <w:rFonts w:ascii="Cambria Math" w:hAnsi="Cambria Math"/>
              </w:rPr>
              <m:t>EF</m:t>
            </m:r>
          </m:e>
          <m:sub>
            <m:r>
              <w:rPr>
                <w:rFonts w:ascii="Cambria Math" w:hAnsi="Cambria Math"/>
              </w:rPr>
              <m:t>i</m:t>
            </m:r>
          </m:sub>
        </m:sSub>
      </m:oMath>
      <w:r>
        <w:rPr>
          <w:rFonts w:ascii="Cambria Math" w:hAnsi="Cambria Math" w:hint="eastAsia"/>
          <w:i/>
          <w:kern w:val="2"/>
          <w:szCs w:val="21"/>
        </w:rPr>
        <w:t>——</w:t>
      </w:r>
      <w:r>
        <w:rPr>
          <w:rFonts w:ascii="Cambria Math" w:hAnsi="Cambria Math" w:hint="eastAsia"/>
          <w:iCs/>
          <w:kern w:val="2"/>
          <w:szCs w:val="21"/>
        </w:rPr>
        <w:t>第</w:t>
      </w:r>
      <w:r>
        <w:rPr>
          <w:rFonts w:ascii="Cambria Math" w:hAnsi="Cambria Math" w:hint="eastAsia"/>
          <w:iCs/>
          <w:kern w:val="2"/>
          <w:szCs w:val="21"/>
        </w:rPr>
        <w:t xml:space="preserve"> </w:t>
      </w:r>
      <w:proofErr w:type="spellStart"/>
      <w:r>
        <w:rPr>
          <w:rFonts w:ascii="Cambria Math" w:hAnsi="Cambria Math" w:hint="eastAsia"/>
          <w:kern w:val="2"/>
          <w:szCs w:val="21"/>
        </w:rPr>
        <w:t>i</w:t>
      </w:r>
      <w:proofErr w:type="spellEnd"/>
      <w:r>
        <w:rPr>
          <w:rFonts w:ascii="Cambria Math" w:hAnsi="Cambria Math"/>
          <w:kern w:val="2"/>
          <w:szCs w:val="21"/>
        </w:rPr>
        <w:t xml:space="preserve"> </w:t>
      </w:r>
      <w:r>
        <w:rPr>
          <w:rFonts w:ascii="Cambria Math" w:hAnsi="Cambria Math" w:hint="eastAsia"/>
          <w:iCs/>
          <w:kern w:val="2"/>
          <w:szCs w:val="21"/>
        </w:rPr>
        <w:t>种燃料的碳排放因子，单位为吨二氧化碳每吉焦（</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/GJ</w:t>
      </w:r>
      <w:r>
        <w:rPr>
          <w:rFonts w:ascii="Cambria Math" w:hAnsi="Cambria Math" w:hint="eastAsia"/>
          <w:iCs/>
          <w:kern w:val="2"/>
          <w:szCs w:val="21"/>
        </w:rPr>
        <w:t>）；</w:t>
      </w:r>
      <w:bookmarkEnd w:id="15"/>
    </w:p>
    <w:p w14:paraId="0AF45134" w14:textId="77777777" w:rsidR="00784CB6" w:rsidRDefault="00000000">
      <w:pPr>
        <w:pStyle w:val="afff4"/>
        <w:spacing w:line="440" w:lineRule="exact"/>
        <w:ind w:firstLine="420"/>
        <w:rPr>
          <w:rFonts w:ascii="Cambria Math" w:hAnsi="Cambria Math"/>
          <w:iCs/>
          <w:kern w:val="2"/>
          <w:szCs w:val="21"/>
        </w:rPr>
      </w:pPr>
      <m:oMath>
        <m:r>
          <w:rPr>
            <w:rFonts w:ascii="Cambria Math" w:hAnsi="Cambria Math"/>
          </w:rPr>
          <m:t>i</m:t>
        </m:r>
      </m:oMath>
      <w:r>
        <w:rPr>
          <w:rFonts w:ascii="Cambria Math" w:hAnsi="Cambria Math"/>
          <w:kern w:val="2"/>
          <w:szCs w:val="21"/>
        </w:rPr>
        <w:t xml:space="preserve"> </w:t>
      </w:r>
      <w:r>
        <w:rPr>
          <w:rFonts w:ascii="Cambria Math" w:hAnsi="Cambria Math" w:hint="eastAsia"/>
          <w:i/>
          <w:kern w:val="2"/>
          <w:szCs w:val="21"/>
        </w:rPr>
        <w:t>——</w:t>
      </w:r>
      <w:r>
        <w:rPr>
          <w:rFonts w:ascii="Cambria Math" w:hAnsi="Cambria Math" w:hint="eastAsia"/>
          <w:iCs/>
          <w:kern w:val="2"/>
          <w:szCs w:val="21"/>
        </w:rPr>
        <w:t>燃料类型代号。</w:t>
      </w:r>
    </w:p>
    <w:p w14:paraId="59DBF27C" w14:textId="77777777" w:rsidR="00784CB6" w:rsidRDefault="00000000">
      <w:pPr>
        <w:pStyle w:val="afff4"/>
        <w:ind w:firstLineChars="300" w:firstLine="630"/>
      </w:pPr>
      <m:oMathPara>
        <m:oMathParaPr>
          <m:jc m:val="center"/>
        </m:oMathParaPr>
        <m:oMath>
          <m:sSub>
            <m:sSubPr>
              <m:ctrlPr>
                <w:rPr>
                  <w:rFonts w:ascii="Cambria Math" w:hAnsi="Cambria Math"/>
                </w:rPr>
              </m:ctrlPr>
            </m:sSubPr>
            <m:e>
              <m:r>
                <w:rPr>
                  <w:rFonts w:ascii="Cambria Math" w:hAnsi="Cambria Math"/>
                </w:rPr>
                <m:t xml:space="preserve">                               AD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NCV</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FC</m:t>
              </m:r>
            </m:e>
            <m:sub>
              <m:r>
                <w:rPr>
                  <w:rFonts w:ascii="Cambria Math" w:hAnsi="Cambria Math"/>
                </w:rPr>
                <m:t>I</m:t>
              </m:r>
            </m:sub>
          </m:sSub>
          <m:r>
            <w:rPr>
              <w:rFonts w:ascii="Cambria Math" w:hAnsi="Cambria Math"/>
            </w:rPr>
            <m:t>…………………….……………………..(3)</m:t>
          </m:r>
        </m:oMath>
      </m:oMathPara>
    </w:p>
    <w:p w14:paraId="65F25A88" w14:textId="77777777" w:rsidR="00784CB6" w:rsidRDefault="00000000">
      <w:pPr>
        <w:pStyle w:val="afff6"/>
        <w:spacing w:before="120" w:after="120"/>
        <w:ind w:firstLine="420"/>
      </w:pPr>
      <w:r>
        <w:rPr>
          <w:rFonts w:hint="eastAsia"/>
        </w:rPr>
        <w:t>式中：</w:t>
      </w:r>
    </w:p>
    <w:p w14:paraId="1D880B4B" w14:textId="77777777" w:rsidR="00784CB6" w:rsidRDefault="00000000">
      <w:pPr>
        <w:pStyle w:val="afff4"/>
        <w:spacing w:line="440" w:lineRule="exact"/>
        <w:ind w:firstLine="420"/>
        <w:rPr>
          <w:rFonts w:ascii="Cambria Math" w:hAnsi="Cambria Math"/>
          <w:iCs/>
          <w:kern w:val="2"/>
          <w:szCs w:val="21"/>
          <w:vertAlign w:val="subscript"/>
        </w:rPr>
      </w:pPr>
      <m:oMath>
        <m:sSub>
          <m:sSubPr>
            <m:ctrlPr>
              <w:rPr>
                <w:rFonts w:ascii="Cambria Math" w:hAnsi="Cambria Math"/>
                <w:i/>
              </w:rPr>
            </m:ctrlPr>
          </m:sSubPr>
          <m:e>
            <m:r>
              <w:rPr>
                <w:rFonts w:ascii="Cambria Math" w:hAnsi="Cambria Math"/>
              </w:rPr>
              <m:t>NCV</m:t>
            </m:r>
          </m:e>
          <m:sub>
            <m:r>
              <w:rPr>
                <w:rFonts w:ascii="Cambria Math" w:hAnsi="Cambria Math"/>
              </w:rPr>
              <m:t>i</m:t>
            </m:r>
          </m:sub>
        </m:sSub>
      </m:oMath>
      <w:r>
        <w:rPr>
          <w:rFonts w:ascii="Cambria Math" w:hAnsi="Cambria Math" w:hint="eastAsia"/>
          <w:i/>
          <w:kern w:val="2"/>
          <w:szCs w:val="21"/>
        </w:rPr>
        <w:t>——</w:t>
      </w:r>
      <w:r>
        <w:rPr>
          <w:rFonts w:ascii="Cambria Math" w:hAnsi="Cambria Math" w:hint="eastAsia"/>
          <w:iCs/>
          <w:kern w:val="2"/>
          <w:szCs w:val="21"/>
        </w:rPr>
        <w:t>核算和报告期内第</w:t>
      </w:r>
      <w:proofErr w:type="spellStart"/>
      <w:r>
        <w:rPr>
          <w:rFonts w:ascii="Cambria Math" w:hAnsi="Cambria Math" w:hint="eastAsia"/>
          <w:i/>
          <w:kern w:val="2"/>
          <w:szCs w:val="21"/>
        </w:rPr>
        <w:t>i</w:t>
      </w:r>
      <w:proofErr w:type="spellEnd"/>
      <w:r>
        <w:rPr>
          <w:rFonts w:ascii="Cambria Math" w:hAnsi="Cambria Math" w:hint="eastAsia"/>
          <w:iCs/>
          <w:kern w:val="2"/>
          <w:szCs w:val="21"/>
        </w:rPr>
        <w:t>种燃料的平均低位发热量。对固体或液体燃料，单位为吉焦每吨（</w:t>
      </w:r>
      <w:r>
        <w:rPr>
          <w:rFonts w:ascii="Cambria Math" w:hAnsi="Cambria Math" w:hint="eastAsia"/>
          <w:iCs/>
          <w:kern w:val="2"/>
          <w:szCs w:val="21"/>
        </w:rPr>
        <w:t>GJ/t</w:t>
      </w:r>
      <w:r>
        <w:rPr>
          <w:rFonts w:ascii="Cambria Math" w:hAnsi="Cambria Math" w:hint="eastAsia"/>
          <w:iCs/>
          <w:kern w:val="2"/>
          <w:szCs w:val="21"/>
        </w:rPr>
        <w:t>）；对气体燃料，单位为吉焦每万标立方米（</w:t>
      </w:r>
      <w:r>
        <w:rPr>
          <w:rFonts w:ascii="Cambria Math" w:hAnsi="Cambria Math" w:hint="eastAsia"/>
          <w:iCs/>
          <w:kern w:val="2"/>
          <w:szCs w:val="21"/>
        </w:rPr>
        <w:t>GJ/10</w:t>
      </w:r>
      <w:r>
        <w:rPr>
          <w:rFonts w:ascii="Cambria Math" w:hAnsi="Cambria Math" w:hint="eastAsia"/>
          <w:iCs/>
          <w:kern w:val="2"/>
          <w:szCs w:val="21"/>
          <w:vertAlign w:val="superscript"/>
        </w:rPr>
        <w:t>4</w:t>
      </w:r>
      <w:r>
        <w:rPr>
          <w:rFonts w:ascii="Cambria Math" w:hAnsi="Cambria Math" w:hint="eastAsia"/>
          <w:iCs/>
          <w:kern w:val="2"/>
          <w:szCs w:val="21"/>
        </w:rPr>
        <w:t>Nm</w:t>
      </w:r>
      <w:r>
        <w:rPr>
          <w:rFonts w:ascii="Cambria Math" w:hAnsi="Cambria Math" w:hint="eastAsia"/>
          <w:iCs/>
          <w:kern w:val="2"/>
          <w:szCs w:val="21"/>
          <w:vertAlign w:val="superscript"/>
        </w:rPr>
        <w:t>3</w:t>
      </w:r>
      <w:r>
        <w:rPr>
          <w:rFonts w:ascii="Cambria Math" w:hAnsi="Cambria Math" w:hint="eastAsia"/>
          <w:iCs/>
          <w:kern w:val="2"/>
          <w:szCs w:val="21"/>
        </w:rPr>
        <w:t>）；</w:t>
      </w:r>
    </w:p>
    <w:p w14:paraId="072607B4" w14:textId="77777777" w:rsidR="00784CB6" w:rsidRDefault="00000000">
      <w:pPr>
        <w:pStyle w:val="afff4"/>
        <w:spacing w:line="44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FC</m:t>
            </m:r>
          </m:e>
          <m:sub>
            <m:r>
              <w:rPr>
                <w:rFonts w:ascii="Cambria Math" w:hAnsi="Cambria Math"/>
              </w:rPr>
              <m:t>I</m:t>
            </m:r>
          </m:sub>
        </m:sSub>
      </m:oMath>
      <w:r>
        <w:rPr>
          <w:rFonts w:ascii="Cambria Math" w:hAnsi="Cambria Math" w:hint="eastAsia"/>
          <w:i/>
          <w:kern w:val="2"/>
          <w:szCs w:val="21"/>
        </w:rPr>
        <w:t>——</w:t>
      </w:r>
      <w:r>
        <w:rPr>
          <w:rFonts w:ascii="Cambria Math" w:hAnsi="Cambria Math" w:hint="eastAsia"/>
          <w:iCs/>
          <w:kern w:val="2"/>
          <w:szCs w:val="21"/>
        </w:rPr>
        <w:t>核算和报告期内第</w:t>
      </w:r>
      <w:proofErr w:type="spellStart"/>
      <w:r>
        <w:rPr>
          <w:rFonts w:ascii="Cambria Math" w:hAnsi="Cambria Math" w:hint="eastAsia"/>
          <w:i/>
          <w:kern w:val="2"/>
          <w:szCs w:val="21"/>
        </w:rPr>
        <w:t>i</w:t>
      </w:r>
      <w:proofErr w:type="spellEnd"/>
      <w:r>
        <w:rPr>
          <w:rFonts w:ascii="Cambria Math" w:hAnsi="Cambria Math" w:hint="eastAsia"/>
          <w:iCs/>
          <w:kern w:val="2"/>
          <w:szCs w:val="21"/>
        </w:rPr>
        <w:t>种燃料的净消耗量。对固体或液体燃料，单位为吨（</w:t>
      </w:r>
      <w:r>
        <w:rPr>
          <w:rFonts w:ascii="Cambria Math" w:hAnsi="Cambria Math" w:hint="eastAsia"/>
          <w:iCs/>
          <w:kern w:val="2"/>
          <w:szCs w:val="21"/>
        </w:rPr>
        <w:t>t</w:t>
      </w:r>
      <w:r>
        <w:rPr>
          <w:rFonts w:ascii="Cambria Math" w:hAnsi="Cambria Math" w:hint="eastAsia"/>
          <w:iCs/>
          <w:kern w:val="2"/>
          <w:szCs w:val="21"/>
        </w:rPr>
        <w:t>）；对气体燃料，单位为万标立方米（</w:t>
      </w:r>
      <w:r>
        <w:rPr>
          <w:rFonts w:ascii="Cambria Math" w:hAnsi="Cambria Math" w:hint="eastAsia"/>
          <w:iCs/>
          <w:kern w:val="2"/>
          <w:szCs w:val="21"/>
        </w:rPr>
        <w:t>10</w:t>
      </w:r>
      <w:r>
        <w:rPr>
          <w:rFonts w:ascii="Cambria Math" w:hAnsi="Cambria Math" w:hint="eastAsia"/>
          <w:iCs/>
          <w:kern w:val="2"/>
          <w:szCs w:val="21"/>
          <w:vertAlign w:val="superscript"/>
        </w:rPr>
        <w:t>4</w:t>
      </w:r>
      <w:r>
        <w:rPr>
          <w:rFonts w:ascii="Cambria Math" w:hAnsi="Cambria Math" w:hint="eastAsia"/>
          <w:iCs/>
          <w:kern w:val="2"/>
          <w:szCs w:val="21"/>
        </w:rPr>
        <w:t>Nm</w:t>
      </w:r>
      <w:r>
        <w:rPr>
          <w:rFonts w:ascii="Cambria Math" w:hAnsi="Cambria Math" w:hint="eastAsia"/>
          <w:iCs/>
          <w:kern w:val="2"/>
          <w:szCs w:val="21"/>
          <w:vertAlign w:val="superscript"/>
        </w:rPr>
        <w:t>3</w:t>
      </w:r>
      <w:r>
        <w:rPr>
          <w:rFonts w:ascii="Cambria Math" w:hAnsi="Cambria Math" w:hint="eastAsia"/>
          <w:iCs/>
          <w:kern w:val="2"/>
          <w:szCs w:val="21"/>
        </w:rPr>
        <w:t>）。</w:t>
      </w:r>
    </w:p>
    <w:p w14:paraId="5902347E" w14:textId="77777777" w:rsidR="00784CB6" w:rsidRDefault="00000000">
      <w:pPr>
        <w:pStyle w:val="afff4"/>
        <w:ind w:firstLine="480"/>
      </w:pPr>
      <m:oMathPara>
        <m:oMath>
          <m:sSub>
            <m:sSubPr>
              <m:ctrlPr>
                <w:rPr>
                  <w:rFonts w:ascii="Cambria Math" w:hAnsi="Cambria Math"/>
                  <w:sz w:val="24"/>
                  <w:szCs w:val="24"/>
                </w:rPr>
              </m:ctrlPr>
            </m:sSubPr>
            <m:e>
              <m:r>
                <w:rPr>
                  <w:rFonts w:ascii="Cambria Math" w:hAnsi="Cambria Math"/>
                  <w:sz w:val="24"/>
                  <w:szCs w:val="24"/>
                </w:rPr>
                <m:t xml:space="preserve">                            EF</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CC</m:t>
              </m:r>
            </m:e>
            <m:sub>
              <m:r>
                <w:rPr>
                  <w:rFonts w:ascii="Cambria Math" w:hAnsi="Cambria Math"/>
                  <w:sz w:val="24"/>
                  <w:szCs w:val="24"/>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OF</m:t>
              </m:r>
            </m:e>
            <m:sub>
              <m:r>
                <w:rPr>
                  <w:rFonts w:ascii="Cambria Math" w:hAnsi="Cambria Math"/>
                  <w:sz w:val="24"/>
                  <w:szCs w:val="24"/>
                </w:rPr>
                <m:t>I</m:t>
              </m:r>
            </m:sub>
          </m:sSub>
          <m:r>
            <w:rPr>
              <w:rFonts w:ascii="Cambria Math" w:hAnsi="Cambria Math"/>
              <w:sz w:val="24"/>
              <w:szCs w:val="24"/>
            </w:rPr>
            <m:t>×</m:t>
          </m:r>
          <m:box>
            <m:boxPr>
              <m:ctrlPr>
                <w:rPr>
                  <w:rFonts w:ascii="Cambria Math" w:hAnsi="Cambria Math"/>
                  <w:i/>
                  <w:sz w:val="24"/>
                  <w:szCs w:val="24"/>
                </w:rPr>
              </m:ctrlPr>
            </m:boxPr>
            <m:e>
              <m:argPr>
                <m:argSz m:val="-1"/>
              </m:argPr>
              <m:f>
                <m:fPr>
                  <m:ctrlPr>
                    <w:rPr>
                      <w:rFonts w:ascii="Cambria Math" w:hAnsi="Cambria Math"/>
                      <w:i/>
                      <w:sz w:val="24"/>
                      <w:szCs w:val="24"/>
                    </w:rPr>
                  </m:ctrlPr>
                </m:fPr>
                <m:num>
                  <m:r>
                    <w:rPr>
                      <w:rFonts w:ascii="Cambria Math" w:hAnsi="Cambria Math"/>
                      <w:sz w:val="24"/>
                      <w:szCs w:val="24"/>
                    </w:rPr>
                    <m:t>44</m:t>
                  </m:r>
                </m:num>
                <m:den>
                  <m:r>
                    <w:rPr>
                      <w:rFonts w:ascii="Cambria Math" w:hAnsi="Cambria Math"/>
                      <w:sz w:val="24"/>
                      <w:szCs w:val="24"/>
                    </w:rPr>
                    <m:t>12</m:t>
                  </m:r>
                </m:den>
              </m:f>
            </m:e>
          </m:box>
          <m:r>
            <w:rPr>
              <w:rFonts w:ascii="Cambria Math" w:hAnsi="Cambria Math"/>
              <w:sz w:val="24"/>
              <w:szCs w:val="24"/>
            </w:rPr>
            <m:t>………………………………..(4)</m:t>
          </m:r>
        </m:oMath>
      </m:oMathPara>
    </w:p>
    <w:p w14:paraId="44A4B724" w14:textId="77777777" w:rsidR="00784CB6" w:rsidRDefault="00000000">
      <w:pPr>
        <w:pStyle w:val="afff7"/>
        <w:ind w:firstLineChars="200" w:firstLine="420"/>
      </w:pPr>
      <w:r>
        <w:rPr>
          <w:rFonts w:hint="eastAsia"/>
        </w:rPr>
        <w:t>式中：</w:t>
      </w:r>
    </w:p>
    <w:p w14:paraId="7E12B318" w14:textId="77777777" w:rsidR="00784CB6" w:rsidRDefault="00000000">
      <w:pPr>
        <w:pStyle w:val="afff4"/>
        <w:spacing w:line="44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CC</m:t>
            </m:r>
          </m:e>
          <m:sub>
            <m:r>
              <w:rPr>
                <w:rFonts w:ascii="Cambria Math" w:hAnsi="Cambria Math"/>
              </w:rPr>
              <m:t>i</m:t>
            </m:r>
          </m:sub>
        </m:sSub>
      </m:oMath>
      <w:r>
        <w:rPr>
          <w:rFonts w:ascii="Cambria Math" w:hAnsi="Cambria Math"/>
          <w:i/>
          <w:kern w:val="2"/>
          <w:szCs w:val="21"/>
        </w:rPr>
        <w:t>——</w:t>
      </w:r>
      <w:r>
        <w:rPr>
          <w:rFonts w:ascii="Cambria Math" w:hAnsi="Cambria Math" w:hint="eastAsia"/>
          <w:iCs/>
          <w:kern w:val="2"/>
          <w:szCs w:val="21"/>
        </w:rPr>
        <w:t>第</w:t>
      </w:r>
      <w:r>
        <w:rPr>
          <w:rFonts w:ascii="Cambria Math" w:hAnsi="Cambria Math" w:hint="eastAsia"/>
          <w:iCs/>
          <w:kern w:val="2"/>
          <w:szCs w:val="21"/>
        </w:rPr>
        <w:t xml:space="preserve"> </w:t>
      </w:r>
      <w:proofErr w:type="spellStart"/>
      <w:r>
        <w:rPr>
          <w:rFonts w:ascii="Cambria Math" w:hAnsi="Cambria Math" w:hint="eastAsia"/>
          <w:i/>
          <w:kern w:val="2"/>
          <w:szCs w:val="21"/>
        </w:rPr>
        <w:t>i</w:t>
      </w:r>
      <w:proofErr w:type="spellEnd"/>
      <w:r>
        <w:rPr>
          <w:rFonts w:ascii="Cambria Math" w:hAnsi="Cambria Math"/>
          <w:i/>
          <w:kern w:val="2"/>
          <w:szCs w:val="21"/>
        </w:rPr>
        <w:t xml:space="preserve"> </w:t>
      </w:r>
      <w:r>
        <w:rPr>
          <w:rFonts w:ascii="Cambria Math" w:hAnsi="Cambria Math" w:hint="eastAsia"/>
          <w:iCs/>
          <w:kern w:val="2"/>
          <w:szCs w:val="21"/>
        </w:rPr>
        <w:t>种燃料的单位热值含碳量，单位为吨碳每吉焦（</w:t>
      </w:r>
      <w:proofErr w:type="spellStart"/>
      <w:r>
        <w:rPr>
          <w:rFonts w:ascii="Cambria Math" w:hAnsi="Cambria Math" w:hint="eastAsia"/>
          <w:iCs/>
          <w:kern w:val="2"/>
          <w:szCs w:val="21"/>
        </w:rPr>
        <w:t>tC</w:t>
      </w:r>
      <w:proofErr w:type="spellEnd"/>
      <w:r>
        <w:rPr>
          <w:rFonts w:ascii="Cambria Math" w:hAnsi="Cambria Math" w:hint="eastAsia"/>
          <w:iCs/>
          <w:kern w:val="2"/>
          <w:szCs w:val="21"/>
        </w:rPr>
        <w:t>/GJ</w:t>
      </w:r>
      <w:r>
        <w:rPr>
          <w:rFonts w:ascii="Cambria Math" w:hAnsi="Cambria Math" w:hint="eastAsia"/>
          <w:iCs/>
          <w:kern w:val="2"/>
          <w:szCs w:val="21"/>
        </w:rPr>
        <w:t>），</w:t>
      </w:r>
      <w:r>
        <w:rPr>
          <w:rFonts w:hint="eastAsia"/>
        </w:rPr>
        <w:t>可采用实测值或相关文件提供的数据</w:t>
      </w:r>
      <w:r>
        <w:rPr>
          <w:rFonts w:ascii="Cambria Math" w:hAnsi="Cambria Math" w:hint="eastAsia"/>
          <w:iCs/>
          <w:kern w:val="2"/>
          <w:szCs w:val="21"/>
        </w:rPr>
        <w:t>；</w:t>
      </w:r>
    </w:p>
    <w:p w14:paraId="2E6DA9D0" w14:textId="77777777" w:rsidR="00784CB6" w:rsidRDefault="00000000">
      <w:pPr>
        <w:pStyle w:val="afff4"/>
        <w:spacing w:line="44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OF</m:t>
            </m:r>
          </m:e>
          <m:sub>
            <m:r>
              <w:rPr>
                <w:rFonts w:ascii="Cambria Math" w:hAnsi="Cambria Math"/>
              </w:rPr>
              <m:t>I</m:t>
            </m:r>
          </m:sub>
        </m:sSub>
      </m:oMath>
      <w:r>
        <w:rPr>
          <w:rFonts w:ascii="Cambria Math" w:hAnsi="Cambria Math" w:hint="eastAsia"/>
          <w:i/>
          <w:kern w:val="2"/>
          <w:szCs w:val="21"/>
        </w:rPr>
        <w:t>——</w:t>
      </w:r>
      <w:r>
        <w:rPr>
          <w:rFonts w:ascii="Cambria Math" w:hAnsi="Cambria Math" w:hint="eastAsia"/>
          <w:iCs/>
          <w:kern w:val="2"/>
          <w:szCs w:val="21"/>
        </w:rPr>
        <w:t>第</w:t>
      </w:r>
      <w:r>
        <w:rPr>
          <w:rFonts w:ascii="Cambria Math" w:hAnsi="Cambria Math" w:hint="eastAsia"/>
          <w:iCs/>
          <w:kern w:val="2"/>
          <w:szCs w:val="21"/>
        </w:rPr>
        <w:t xml:space="preserve"> </w:t>
      </w:r>
      <w:proofErr w:type="spellStart"/>
      <w:r>
        <w:rPr>
          <w:rFonts w:ascii="Cambria Math" w:hAnsi="Cambria Math" w:hint="eastAsia"/>
          <w:i/>
          <w:kern w:val="2"/>
          <w:szCs w:val="21"/>
        </w:rPr>
        <w:t>i</w:t>
      </w:r>
      <w:proofErr w:type="spellEnd"/>
      <w:r>
        <w:rPr>
          <w:rFonts w:ascii="Cambria Math" w:hAnsi="Cambria Math"/>
          <w:i/>
          <w:kern w:val="2"/>
          <w:szCs w:val="21"/>
        </w:rPr>
        <w:t xml:space="preserve"> </w:t>
      </w:r>
      <w:r>
        <w:rPr>
          <w:rFonts w:ascii="Cambria Math" w:hAnsi="Cambria Math" w:hint="eastAsia"/>
          <w:iCs/>
          <w:kern w:val="2"/>
          <w:szCs w:val="21"/>
        </w:rPr>
        <w:t>种燃料的碳氧化率，以</w:t>
      </w:r>
      <w:r>
        <w:rPr>
          <w:rFonts w:ascii="Cambria Math" w:hAnsi="Cambria Math" w:hint="eastAsia"/>
          <w:iCs/>
          <w:kern w:val="2"/>
          <w:szCs w:val="21"/>
        </w:rPr>
        <w:t>%</w:t>
      </w:r>
      <w:r>
        <w:rPr>
          <w:rFonts w:ascii="Cambria Math" w:hAnsi="Cambria Math" w:hint="eastAsia"/>
          <w:iCs/>
          <w:kern w:val="2"/>
          <w:szCs w:val="21"/>
        </w:rPr>
        <w:t>表示，</w:t>
      </w:r>
      <w:r>
        <w:rPr>
          <w:rFonts w:hint="eastAsia"/>
        </w:rPr>
        <w:t>可采用实测值或相关文件提供的数据</w:t>
      </w:r>
      <w:r>
        <w:rPr>
          <w:rFonts w:ascii="Cambria Math" w:hAnsi="Cambria Math" w:hint="eastAsia"/>
          <w:iCs/>
          <w:kern w:val="2"/>
          <w:szCs w:val="21"/>
        </w:rPr>
        <w:t>；</w:t>
      </w:r>
    </w:p>
    <w:p w14:paraId="40186169" w14:textId="77777777" w:rsidR="00784CB6" w:rsidRDefault="00000000">
      <w:pPr>
        <w:pStyle w:val="afff4"/>
        <w:spacing w:line="520" w:lineRule="exact"/>
        <w:ind w:firstLineChars="195" w:firstLine="409"/>
        <w:rPr>
          <w:rFonts w:ascii="Cambria Math" w:hAnsi="Cambria Math"/>
          <w:iCs/>
          <w:kern w:val="2"/>
          <w:szCs w:val="21"/>
        </w:rPr>
      </w:pPr>
      <m:oMath>
        <m:f>
          <m:fPr>
            <m:ctrlPr>
              <w:rPr>
                <w:rFonts w:ascii="Cambria Math" w:hAnsi="Cambria Math"/>
                <w:i/>
                <w:szCs w:val="21"/>
              </w:rPr>
            </m:ctrlPr>
          </m:fPr>
          <m:num>
            <m:r>
              <w:rPr>
                <w:rFonts w:ascii="Cambria Math" w:hAnsi="Cambria Math"/>
                <w:szCs w:val="21"/>
              </w:rPr>
              <m:t>44</m:t>
            </m:r>
          </m:num>
          <m:den>
            <m:r>
              <w:rPr>
                <w:rFonts w:ascii="Cambria Math" w:hAnsi="Cambria Math"/>
                <w:szCs w:val="21"/>
              </w:rPr>
              <m:t>12</m:t>
            </m:r>
          </m:den>
        </m:f>
      </m:oMath>
      <w:r>
        <w:rPr>
          <w:rFonts w:ascii="Cambria Math" w:hAnsi="Cambria Math" w:hint="eastAsia"/>
          <w:i/>
          <w:szCs w:val="21"/>
        </w:rPr>
        <w:t xml:space="preserve"> </w:t>
      </w:r>
      <w:r>
        <w:rPr>
          <w:rFonts w:ascii="Cambria Math" w:hAnsi="Cambria Math" w:hint="eastAsia"/>
          <w:i/>
          <w:kern w:val="2"/>
          <w:szCs w:val="21"/>
        </w:rPr>
        <w:t>——</w:t>
      </w:r>
      <w:r>
        <w:rPr>
          <w:rFonts w:ascii="Cambria Math" w:hAnsi="Cambria Math" w:hint="eastAsia"/>
          <w:kern w:val="2"/>
          <w:szCs w:val="21"/>
        </w:rPr>
        <w:t>二氧化</w:t>
      </w:r>
      <w:r>
        <w:rPr>
          <w:rFonts w:ascii="Cambria Math" w:hAnsi="Cambria Math" w:hint="eastAsia"/>
          <w:iCs/>
          <w:kern w:val="2"/>
          <w:szCs w:val="21"/>
        </w:rPr>
        <w:t>碳与碳的相对分子质量比。</w:t>
      </w:r>
    </w:p>
    <w:p w14:paraId="025DD29D" w14:textId="77777777" w:rsidR="00784CB6" w:rsidRDefault="00000000">
      <w:pPr>
        <w:spacing w:beforeLines="100" w:before="24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6</w:t>
      </w:r>
      <w:r>
        <w:rPr>
          <w:rFonts w:asciiTheme="majorHAnsi" w:eastAsia="黑体" w:hAnsiTheme="majorHAnsi" w:cstheme="majorBidi"/>
          <w:b/>
          <w:bCs/>
          <w:sz w:val="24"/>
          <w:szCs w:val="32"/>
        </w:rPr>
        <w:t xml:space="preserve">.2.2 </w:t>
      </w:r>
      <w:r>
        <w:rPr>
          <w:rFonts w:asciiTheme="majorHAnsi" w:eastAsia="黑体" w:hAnsiTheme="majorHAnsi" w:cstheme="majorBidi" w:hint="eastAsia"/>
          <w:b/>
          <w:bCs/>
          <w:sz w:val="24"/>
          <w:szCs w:val="32"/>
        </w:rPr>
        <w:t>过程排放量</w:t>
      </w:r>
    </w:p>
    <w:p w14:paraId="64657FDD"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工业生产过程排放，统计页岩、煤矸石、建筑渣土等物料在烧成工序中高温分解释放出的温室气体。原料中碳酸钙、碳酸镁含量每批次应检测一次，依据</w:t>
      </w:r>
      <w:r>
        <w:rPr>
          <w:rFonts w:ascii="宋体" w:eastAsia="宋体" w:hAnsi="宋体"/>
          <w:sz w:val="24"/>
          <w:szCs w:val="24"/>
        </w:rPr>
        <w:t>GB/T 2762</w:t>
      </w:r>
      <w:r>
        <w:rPr>
          <w:rFonts w:ascii="宋体" w:eastAsia="宋体" w:hAnsi="宋体" w:hint="eastAsia"/>
          <w:sz w:val="24"/>
          <w:szCs w:val="24"/>
        </w:rPr>
        <w:t>、</w:t>
      </w:r>
      <w:r>
        <w:rPr>
          <w:rFonts w:ascii="宋体" w:eastAsia="宋体" w:hAnsi="宋体"/>
          <w:sz w:val="24"/>
          <w:szCs w:val="24"/>
        </w:rPr>
        <w:t>JC</w:t>
      </w:r>
      <w:r>
        <w:rPr>
          <w:rFonts w:ascii="宋体" w:eastAsia="宋体" w:hAnsi="宋体" w:hint="eastAsia"/>
          <w:sz w:val="24"/>
          <w:szCs w:val="24"/>
        </w:rPr>
        <w:t xml:space="preserve">/T </w:t>
      </w:r>
      <w:r>
        <w:rPr>
          <w:rFonts w:ascii="宋体" w:eastAsia="宋体" w:hAnsi="宋体"/>
          <w:sz w:val="24"/>
          <w:szCs w:val="24"/>
        </w:rPr>
        <w:t>1021.3</w:t>
      </w:r>
      <w:r>
        <w:rPr>
          <w:rFonts w:ascii="宋体" w:eastAsia="宋体" w:hAnsi="宋体" w:hint="eastAsia"/>
          <w:sz w:val="24"/>
          <w:szCs w:val="24"/>
        </w:rPr>
        <w:t>、《土壤分析技术规范（第二版）》等标准规范进行，然后统计核算期内原料中碳酸钙、碳酸镁的加权平均含量。</w:t>
      </w:r>
      <w:r>
        <w:rPr>
          <w:rFonts w:ascii="宋体" w:eastAsia="宋体" w:hAnsi="宋体"/>
          <w:sz w:val="24"/>
          <w:szCs w:val="24"/>
        </w:rPr>
        <w:t>工业生产过程中碳酸盐分解产生的二氧化碳排放量按式（5）计算：</w:t>
      </w:r>
    </w:p>
    <w:p w14:paraId="24E72F49" w14:textId="77777777" w:rsidR="00784CB6" w:rsidRDefault="00000000">
      <w:pPr>
        <w:pStyle w:val="afff7"/>
        <w:jc w:val="center"/>
      </w:pPr>
      <m:oMathPara>
        <m:oMath>
          <m:sSub>
            <m:sSubPr>
              <m:ctrlPr>
                <w:rPr>
                  <w:rFonts w:ascii="Cambria Math" w:hAnsi="Cambria Math"/>
                  <w:i/>
                </w:rPr>
              </m:ctrlPr>
            </m:sSubPr>
            <m:e>
              <m:r>
                <w:rPr>
                  <w:rFonts w:ascii="Cambria Math" w:hAnsi="Cambria Math"/>
                </w:rPr>
                <m:t xml:space="preserve">              E</m:t>
              </m:r>
            </m:e>
            <m:sub>
              <m:r>
                <m:rPr>
                  <m:sty m:val="p"/>
                </m:rPr>
                <w:rPr>
                  <w:rFonts w:ascii="Cambria Math" w:hAnsi="Cambria Math" w:hint="eastAsia"/>
                </w:rPr>
                <m:t>过程</m:t>
              </m:r>
            </m:sub>
          </m:sSub>
          <m:r>
            <w:rPr>
              <w:rFonts w:ascii="Cambria Math" w:hAnsi="Cambria Math"/>
            </w:rPr>
            <m:t>=</m:t>
          </m:r>
          <m:nary>
            <m:naryPr>
              <m:chr m:val="∑"/>
              <m:limLoc m:val="undOvr"/>
              <m:subHide m:val="1"/>
              <m:supHide m:val="1"/>
              <m:ctrlPr>
                <w:rPr>
                  <w:rFonts w:ascii="Cambria Math" w:hAnsi="Cambria Math"/>
                  <w:i/>
                </w:rPr>
              </m:ctrlPr>
            </m:naryPr>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F</m:t>
                      </m:r>
                    </m:e>
                    <m:sub>
                      <m:r>
                        <m:rPr>
                          <m:sty m:val="p"/>
                        </m:rPr>
                        <w:rPr>
                          <w:rFonts w:ascii="Cambria Math" w:hAnsi="Cambria Math" w:hint="eastAsia"/>
                        </w:rPr>
                        <m:t>原料</m:t>
                      </m:r>
                    </m:sub>
                  </m:sSub>
                  <m:r>
                    <w:rPr>
                      <w:rFonts w:ascii="Cambria Math" w:hAnsi="Cambria Math"/>
                    </w:rPr>
                    <m:t>×</m:t>
                  </m:r>
                  <m:sSub>
                    <m:sSubPr>
                      <m:ctrlPr>
                        <w:rPr>
                          <w:rFonts w:ascii="Cambria Math" w:hAnsi="Cambria Math"/>
                          <w:i/>
                        </w:rPr>
                      </m:ctrlPr>
                    </m:sSubPr>
                    <m:e>
                      <w:bookmarkStart w:id="16" w:name="_Hlk133398586"/>
                      <m:r>
                        <w:rPr>
                          <w:rFonts w:ascii="Cambria Math" w:hAnsi="Cambria Math" w:hint="eastAsia"/>
                        </w:rPr>
                        <m:t>η</m:t>
                      </m:r>
                      <w:bookmarkEnd w:id="16"/>
                    </m:e>
                    <m:sub>
                      <m:r>
                        <m:rPr>
                          <m:sty m:val="p"/>
                        </m:rPr>
                        <w:rPr>
                          <w:rFonts w:ascii="Cambria Math" w:hAnsi="Cambria Math" w:hint="eastAsia"/>
                        </w:rPr>
                        <m:t>原料</m:t>
                      </m:r>
                    </m:sub>
                  </m:sSub>
                  <m:r>
                    <w:rPr>
                      <w:rFonts w:ascii="Cambria Math" w:hAnsi="Cambria Math"/>
                    </w:rPr>
                    <m:t>×</m:t>
                  </m:r>
                  <m:d>
                    <m:dPr>
                      <m:ctrlPr>
                        <w:rPr>
                          <w:rFonts w:ascii="Cambria Math" w:hAnsi="Cambria Math"/>
                          <w:i/>
                        </w:rPr>
                      </m:ctrlPr>
                    </m:dPr>
                    <m:e>
                      <w:bookmarkStart w:id="17" w:name="_Hlk133398453"/>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CaCO</m:t>
                              </m:r>
                            </m:e>
                            <m:sub>
                              <m:r>
                                <w:rPr>
                                  <w:rFonts w:ascii="Cambria Math" w:hAnsi="Cambria Math"/>
                                </w:rPr>
                                <m:t>3</m:t>
                              </m:r>
                            </m:sub>
                          </m:sSub>
                        </m:sub>
                      </m:sSub>
                      <w:bookmarkEnd w:id="17"/>
                      <m:r>
                        <w:rPr>
                          <w:rFonts w:ascii="Cambria Math" w:hAnsi="Cambria Math"/>
                        </w:rPr>
                        <m:t>×</m:t>
                      </m:r>
                      <m:f>
                        <m:fPr>
                          <m:ctrlPr>
                            <w:rPr>
                              <w:rFonts w:ascii="Cambria Math" w:hAnsi="Cambria Math"/>
                              <w:i/>
                            </w:rPr>
                          </m:ctrlPr>
                        </m:fPr>
                        <m:num>
                          <m:r>
                            <w:rPr>
                              <w:rFonts w:ascii="Cambria Math" w:hAnsi="Cambria Math"/>
                            </w:rPr>
                            <m:t>44</m:t>
                          </m:r>
                        </m:num>
                        <m:den>
                          <m:r>
                            <w:rPr>
                              <w:rFonts w:ascii="Cambria Math" w:hAnsi="Cambria Math"/>
                            </w:rPr>
                            <m:t>100</m:t>
                          </m:r>
                        </m:den>
                      </m:f>
                      <m:r>
                        <w:rPr>
                          <w:rFonts w:ascii="Cambria Math" w:hAnsi="Cambria Math"/>
                        </w:rPr>
                        <m:t>+</m:t>
                      </m:r>
                      <m:sSub>
                        <m:sSubPr>
                          <m:ctrlPr>
                            <w:rPr>
                              <w:rFonts w:ascii="Cambria Math" w:hAnsi="Cambria Math"/>
                              <w:i/>
                            </w:rPr>
                          </m:ctrlPr>
                        </m:sSubPr>
                        <m:e>
                          <w:bookmarkStart w:id="18" w:name="_Hlk133398482"/>
                          <m:r>
                            <w:rPr>
                              <w:rFonts w:ascii="Cambria Math" w:hAnsi="Cambria Math"/>
                            </w:rPr>
                            <m:t>C</m:t>
                          </m:r>
                        </m:e>
                        <m:sub>
                          <m:sSub>
                            <m:sSubPr>
                              <m:ctrlPr>
                                <w:rPr>
                                  <w:rFonts w:ascii="Cambria Math" w:hAnsi="Cambria Math"/>
                                  <w:i/>
                                </w:rPr>
                              </m:ctrlPr>
                            </m:sSubPr>
                            <m:e>
                              <m:r>
                                <w:rPr>
                                  <w:rFonts w:ascii="Cambria Math" w:hAnsi="Cambria Math"/>
                                </w:rPr>
                                <m:t>MgCO</m:t>
                              </m:r>
                            </m:e>
                            <m:sub>
                              <m:r>
                                <w:rPr>
                                  <w:rFonts w:ascii="Cambria Math" w:hAnsi="Cambria Math"/>
                                </w:rPr>
                                <m:t>3</m:t>
                              </m:r>
                            </m:sub>
                          </m:sSub>
                          <w:bookmarkEnd w:id="18"/>
                        </m:sub>
                      </m:sSub>
                      <m:r>
                        <w:rPr>
                          <w:rFonts w:ascii="Cambria Math" w:hAnsi="Cambria Math"/>
                        </w:rPr>
                        <m:t>×</m:t>
                      </m:r>
                      <m:f>
                        <m:fPr>
                          <m:ctrlPr>
                            <w:rPr>
                              <w:rFonts w:ascii="Cambria Math" w:hAnsi="Cambria Math"/>
                              <w:i/>
                            </w:rPr>
                          </m:ctrlPr>
                        </m:fPr>
                        <m:num>
                          <m:r>
                            <w:rPr>
                              <w:rFonts w:ascii="Cambria Math" w:hAnsi="Cambria Math"/>
                            </w:rPr>
                            <m:t>44</m:t>
                          </m:r>
                        </m:num>
                        <m:den>
                          <m:r>
                            <w:rPr>
                              <w:rFonts w:ascii="Cambria Math" w:hAnsi="Cambria Math"/>
                            </w:rPr>
                            <m:t>84</m:t>
                          </m:r>
                        </m:den>
                      </m:f>
                    </m:e>
                  </m:d>
                </m:e>
              </m:d>
            </m:e>
          </m:nary>
          <m:r>
            <w:rPr>
              <w:rFonts w:ascii="Cambria Math" w:hAnsi="Cambria Math"/>
            </w:rPr>
            <m:t>………………………(5)</m:t>
          </m:r>
        </m:oMath>
      </m:oMathPara>
    </w:p>
    <w:p w14:paraId="540DC083" w14:textId="77777777" w:rsidR="00784CB6" w:rsidRDefault="00000000">
      <w:pPr>
        <w:pStyle w:val="afff6"/>
        <w:spacing w:before="120" w:after="120"/>
        <w:ind w:firstLine="420"/>
      </w:pPr>
      <w:r>
        <w:rPr>
          <w:rFonts w:hint="eastAsia"/>
        </w:rPr>
        <w:t>式中：</w:t>
      </w:r>
    </w:p>
    <w:bookmarkStart w:id="19" w:name="_Hlk133398536"/>
    <w:bookmarkStart w:id="20" w:name="_Hlk133398874"/>
    <w:p w14:paraId="2E9F35E3" w14:textId="77777777" w:rsidR="00784CB6" w:rsidRDefault="00000000">
      <w:pPr>
        <w:pStyle w:val="afff4"/>
        <w:spacing w:line="44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过程</m:t>
            </m:r>
          </m:sub>
        </m:sSub>
      </m:oMath>
      <w:r>
        <w:rPr>
          <w:rFonts w:ascii="Cambria Math" w:hAnsi="Cambria Math" w:hint="eastAsia"/>
          <w:i/>
        </w:rPr>
        <w:t xml:space="preserve"> </w:t>
      </w:r>
      <w:r>
        <w:rPr>
          <w:rFonts w:ascii="Cambria Math" w:hAnsi="Cambria Math"/>
          <w:i/>
        </w:rPr>
        <w:t xml:space="preserve"> </w:t>
      </w:r>
      <w:r>
        <w:rPr>
          <w:rFonts w:ascii="Cambria Math" w:hAnsi="Cambria Math" w:hint="eastAsia"/>
          <w:i/>
          <w:kern w:val="2"/>
          <w:szCs w:val="21"/>
        </w:rPr>
        <w:t>——</w:t>
      </w:r>
      <w:r>
        <w:rPr>
          <w:rFonts w:ascii="Cambria Math" w:hAnsi="Cambria Math" w:hint="eastAsia"/>
          <w:iCs/>
          <w:kern w:val="2"/>
          <w:szCs w:val="21"/>
        </w:rPr>
        <w:t>核算期内碳过程排放量，单位为吨二氧化碳（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bookmarkEnd w:id="19"/>
    </w:p>
    <w:p w14:paraId="2CE30634" w14:textId="77777777" w:rsidR="00784CB6" w:rsidRDefault="00000000">
      <w:pPr>
        <w:pStyle w:val="afff4"/>
        <w:spacing w:line="44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F</m:t>
            </m:r>
          </m:e>
          <m:sub>
            <m:r>
              <m:rPr>
                <m:sty m:val="p"/>
              </m:rPr>
              <w:rPr>
                <w:rFonts w:ascii="Cambria Math" w:hAnsi="Cambria Math" w:hint="eastAsia"/>
              </w:rPr>
              <m:t>原料</m:t>
            </m:r>
          </m:sub>
        </m:sSub>
      </m:oMath>
      <w:r>
        <w:rPr>
          <w:rFonts w:ascii="Cambria Math" w:hAnsi="Cambria Math" w:hint="eastAsia"/>
          <w:i/>
        </w:rPr>
        <w:t xml:space="preserve"> </w:t>
      </w:r>
      <w:r>
        <w:rPr>
          <w:rFonts w:ascii="Cambria Math" w:hAnsi="Cambria Math"/>
          <w:i/>
        </w:rPr>
        <w:t xml:space="preserve"> </w:t>
      </w:r>
      <w:r>
        <w:rPr>
          <w:rFonts w:ascii="Cambria Math" w:hAnsi="Cambria Math" w:hint="eastAsia"/>
          <w:i/>
          <w:kern w:val="2"/>
          <w:szCs w:val="21"/>
        </w:rPr>
        <w:t>——</w:t>
      </w:r>
      <w:r>
        <w:rPr>
          <w:rFonts w:ascii="Cambria Math" w:hAnsi="Cambria Math" w:hint="eastAsia"/>
          <w:iCs/>
          <w:kern w:val="2"/>
          <w:szCs w:val="21"/>
        </w:rPr>
        <w:t>核算期内原料消耗量（干基），单位为吨（</w:t>
      </w:r>
      <w:r>
        <w:rPr>
          <w:rFonts w:ascii="Cambria Math" w:hAnsi="Cambria Math" w:hint="eastAsia"/>
          <w:iCs/>
          <w:kern w:val="2"/>
          <w:szCs w:val="21"/>
        </w:rPr>
        <w:t>t</w:t>
      </w:r>
      <w:r>
        <w:rPr>
          <w:rFonts w:ascii="Cambria Math" w:hAnsi="Cambria Math" w:hint="eastAsia"/>
          <w:iCs/>
          <w:kern w:val="2"/>
          <w:szCs w:val="21"/>
        </w:rPr>
        <w:t>）；</w:t>
      </w:r>
    </w:p>
    <w:bookmarkStart w:id="21" w:name="_Hlk133398602"/>
    <w:bookmarkEnd w:id="20"/>
    <w:p w14:paraId="1C71D056" w14:textId="77777777" w:rsidR="00784CB6" w:rsidRDefault="00000000">
      <w:pPr>
        <w:pStyle w:val="afff4"/>
        <w:spacing w:line="440" w:lineRule="exact"/>
        <w:ind w:firstLine="420"/>
      </w:pPr>
      <m:oMath>
        <m:sSub>
          <m:sSubPr>
            <m:ctrlPr>
              <w:rPr>
                <w:rFonts w:ascii="Cambria Math" w:hAnsi="Cambria Math"/>
                <w:i/>
              </w:rPr>
            </m:ctrlPr>
          </m:sSubPr>
          <m:e>
            <m:r>
              <w:rPr>
                <w:rFonts w:ascii="Cambria Math" w:hAnsi="Cambria Math" w:hint="eastAsia"/>
              </w:rPr>
              <m:t>η</m:t>
            </m:r>
          </m:e>
          <m:sub>
            <m:r>
              <m:rPr>
                <m:sty m:val="p"/>
              </m:rPr>
              <w:rPr>
                <w:rFonts w:ascii="Cambria Math" w:hAnsi="Cambria Math" w:hint="eastAsia"/>
              </w:rPr>
              <m:t>原料</m:t>
            </m:r>
          </m:sub>
        </m:sSub>
      </m:oMath>
      <w:r>
        <w:rPr>
          <w:rFonts w:ascii="Cambria Math" w:hAnsi="Cambria Math" w:hint="eastAsia"/>
          <w:i/>
        </w:rPr>
        <w:t xml:space="preserve"> </w:t>
      </w:r>
      <w:r>
        <w:rPr>
          <w:rFonts w:ascii="Cambria Math" w:hAnsi="Cambria Math"/>
          <w:i/>
        </w:rPr>
        <w:t xml:space="preserve"> </w:t>
      </w:r>
      <w:r>
        <w:rPr>
          <w:rFonts w:ascii="Cambria Math" w:hAnsi="Cambria Math" w:hint="eastAsia"/>
          <w:i/>
          <w:kern w:val="2"/>
          <w:szCs w:val="21"/>
        </w:rPr>
        <w:t>——</w:t>
      </w:r>
      <w:bookmarkEnd w:id="21"/>
      <w:r>
        <w:rPr>
          <w:rFonts w:ascii="Cambria Math" w:hAnsi="Cambria Math" w:hint="eastAsia"/>
          <w:iCs/>
          <w:kern w:val="2"/>
          <w:szCs w:val="21"/>
        </w:rPr>
        <w:t>核算期内原料利用率，以</w:t>
      </w:r>
      <w:r>
        <w:rPr>
          <w:rFonts w:ascii="Cambria Math" w:hAnsi="Cambria Math" w:hint="eastAsia"/>
          <w:iCs/>
          <w:kern w:val="2"/>
          <w:szCs w:val="21"/>
        </w:rPr>
        <w:t>%</w:t>
      </w:r>
      <w:r>
        <w:rPr>
          <w:rFonts w:ascii="Cambria Math" w:hAnsi="Cambria Math" w:hint="eastAsia"/>
          <w:iCs/>
          <w:kern w:val="2"/>
          <w:szCs w:val="21"/>
        </w:rPr>
        <w:t>表示；</w:t>
      </w:r>
    </w:p>
    <w:p w14:paraId="555225BE" w14:textId="77777777" w:rsidR="00784CB6" w:rsidRDefault="00000000">
      <w:pPr>
        <w:pStyle w:val="afff4"/>
        <w:spacing w:line="440" w:lineRule="exact"/>
        <w:ind w:leftChars="-100" w:left="-210" w:firstLineChars="300" w:firstLine="630"/>
      </w:pP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CaCO</m:t>
                </m:r>
              </m:e>
              <m:sub>
                <m:r>
                  <w:rPr>
                    <w:rFonts w:ascii="Cambria Math" w:hAnsi="Cambria Math"/>
                  </w:rPr>
                  <m:t>3</m:t>
                </m:r>
              </m:sub>
            </m:sSub>
          </m:sub>
        </m:sSub>
      </m:oMath>
      <w:r>
        <w:rPr>
          <w:rFonts w:ascii="Cambria Math" w:hAnsi="Cambria Math" w:hint="eastAsia"/>
          <w:i/>
        </w:rPr>
        <w:t xml:space="preserve"> </w:t>
      </w:r>
      <w:r>
        <w:rPr>
          <w:rFonts w:ascii="Cambria Math" w:hAnsi="Cambria Math" w:hint="eastAsia"/>
          <w:i/>
          <w:kern w:val="2"/>
          <w:szCs w:val="21"/>
        </w:rPr>
        <w:t>——</w:t>
      </w:r>
      <w:r>
        <w:rPr>
          <w:rFonts w:ascii="Cambria Math" w:hAnsi="Cambria Math" w:hint="eastAsia"/>
          <w:iCs/>
          <w:kern w:val="2"/>
          <w:szCs w:val="21"/>
        </w:rPr>
        <w:t>核算期内使用原料中碳酸钙（</w:t>
      </w:r>
      <w:r>
        <w:rPr>
          <w:rFonts w:ascii="Cambria Math" w:hAnsi="Cambria Math" w:hint="eastAsia"/>
          <w:iCs/>
          <w:kern w:val="2"/>
          <w:szCs w:val="21"/>
        </w:rPr>
        <w:t>CaCO</w:t>
      </w:r>
      <w:r>
        <w:rPr>
          <w:rFonts w:ascii="Cambria Math" w:hAnsi="Cambria Math" w:hint="eastAsia"/>
          <w:iCs/>
          <w:kern w:val="2"/>
          <w:szCs w:val="21"/>
          <w:vertAlign w:val="subscript"/>
        </w:rPr>
        <w:t>3</w:t>
      </w:r>
      <w:r>
        <w:rPr>
          <w:rFonts w:ascii="Cambria Math" w:hAnsi="Cambria Math" w:hint="eastAsia"/>
          <w:iCs/>
          <w:kern w:val="2"/>
          <w:szCs w:val="21"/>
        </w:rPr>
        <w:t>）的质量分数，以</w:t>
      </w:r>
      <w:r>
        <w:rPr>
          <w:rFonts w:ascii="Cambria Math" w:hAnsi="Cambria Math" w:hint="eastAsia"/>
          <w:iCs/>
          <w:kern w:val="2"/>
          <w:szCs w:val="21"/>
        </w:rPr>
        <w:t>%</w:t>
      </w:r>
      <w:r>
        <w:rPr>
          <w:rFonts w:ascii="Cambria Math" w:hAnsi="Cambria Math" w:hint="eastAsia"/>
          <w:iCs/>
          <w:kern w:val="2"/>
          <w:szCs w:val="21"/>
        </w:rPr>
        <w:t>表示；</w:t>
      </w:r>
    </w:p>
    <w:p w14:paraId="4B7ED432" w14:textId="77777777" w:rsidR="00784CB6" w:rsidRDefault="00000000">
      <w:pPr>
        <w:pStyle w:val="afff4"/>
        <w:spacing w:line="440" w:lineRule="exact"/>
        <w:ind w:leftChars="-100" w:left="-210" w:firstLineChars="300" w:firstLine="630"/>
        <w:rPr>
          <w:rFonts w:ascii="Cambria Math" w:hAnsi="Cambria Math"/>
          <w:iCs/>
          <w:kern w:val="2"/>
          <w:szCs w:val="21"/>
        </w:rPr>
      </w:pPr>
      <m:oMath>
        <m:sSub>
          <m:sSubPr>
            <m:ctrlPr>
              <w:rPr>
                <w:rFonts w:ascii="Cambria Math" w:hAnsi="Cambria Math"/>
                <w:i/>
                <w:kern w:val="2"/>
                <w:szCs w:val="21"/>
              </w:rPr>
            </m:ctrlPr>
          </m:sSubPr>
          <m:e>
            <m:r>
              <w:rPr>
                <w:rFonts w:ascii="Cambria Math" w:hAnsi="Cambria Math"/>
              </w:rPr>
              <m:t>C</m:t>
            </m:r>
          </m:e>
          <m:sub>
            <m:sSub>
              <m:sSubPr>
                <m:ctrlPr>
                  <w:rPr>
                    <w:rFonts w:ascii="Cambria Math" w:hAnsi="Cambria Math"/>
                    <w:i/>
                    <w:kern w:val="2"/>
                    <w:szCs w:val="21"/>
                  </w:rPr>
                </m:ctrlPr>
              </m:sSubPr>
              <m:e>
                <m:r>
                  <w:rPr>
                    <w:rFonts w:ascii="Cambria Math" w:hAnsi="Cambria Math"/>
                  </w:rPr>
                  <m:t>MgCO</m:t>
                </m:r>
              </m:e>
              <m:sub>
                <m:r>
                  <w:rPr>
                    <w:rFonts w:ascii="Cambria Math" w:hAnsi="Cambria Math"/>
                  </w:rPr>
                  <m:t>3</m:t>
                </m:r>
              </m:sub>
            </m:sSub>
          </m:sub>
        </m:sSub>
      </m:oMath>
      <w:r>
        <w:rPr>
          <w:rFonts w:ascii="Cambria Math" w:hAnsi="Cambria Math" w:hint="eastAsia"/>
          <w:i/>
          <w:kern w:val="2"/>
          <w:szCs w:val="21"/>
        </w:rPr>
        <w:t>——</w:t>
      </w:r>
      <w:r>
        <w:rPr>
          <w:rFonts w:ascii="Cambria Math" w:hAnsi="Cambria Math" w:hint="eastAsia"/>
          <w:iCs/>
          <w:kern w:val="2"/>
          <w:szCs w:val="21"/>
        </w:rPr>
        <w:t>核算期内使用原料中碳酸镁（</w:t>
      </w:r>
      <w:r>
        <w:rPr>
          <w:rFonts w:ascii="Cambria Math" w:hAnsi="Cambria Math" w:hint="eastAsia"/>
          <w:iCs/>
          <w:kern w:val="2"/>
          <w:szCs w:val="21"/>
        </w:rPr>
        <w:t>MgCO</w:t>
      </w:r>
      <w:r>
        <w:rPr>
          <w:rFonts w:ascii="Cambria Math" w:hAnsi="Cambria Math" w:hint="eastAsia"/>
          <w:iCs/>
          <w:kern w:val="2"/>
          <w:szCs w:val="21"/>
          <w:vertAlign w:val="subscript"/>
        </w:rPr>
        <w:t>3</w:t>
      </w:r>
      <w:r>
        <w:rPr>
          <w:rFonts w:ascii="Cambria Math" w:hAnsi="Cambria Math" w:hint="eastAsia"/>
          <w:iCs/>
          <w:kern w:val="2"/>
          <w:szCs w:val="21"/>
        </w:rPr>
        <w:t>）的质量分数，以</w:t>
      </w:r>
      <w:r>
        <w:rPr>
          <w:rFonts w:ascii="Cambria Math" w:hAnsi="Cambria Math" w:hint="eastAsia"/>
          <w:iCs/>
          <w:kern w:val="2"/>
          <w:szCs w:val="21"/>
        </w:rPr>
        <w:t>%</w:t>
      </w:r>
      <w:r>
        <w:rPr>
          <w:rFonts w:ascii="Cambria Math" w:hAnsi="Cambria Math" w:hint="eastAsia"/>
          <w:iCs/>
          <w:kern w:val="2"/>
          <w:szCs w:val="21"/>
        </w:rPr>
        <w:t>表示；</w:t>
      </w:r>
    </w:p>
    <w:p w14:paraId="5B9F6AC3" w14:textId="77777777" w:rsidR="00784CB6" w:rsidRDefault="00000000">
      <w:pPr>
        <w:pStyle w:val="afff4"/>
        <w:spacing w:line="520" w:lineRule="exact"/>
        <w:ind w:leftChars="-100" w:left="-210" w:firstLineChars="300" w:firstLine="630"/>
        <w:rPr>
          <w:rFonts w:ascii="Calibri" w:hAnsi="Calibri"/>
          <w:kern w:val="2"/>
          <w:szCs w:val="21"/>
        </w:rPr>
      </w:pPr>
      <m:oMath>
        <m:f>
          <m:fPr>
            <m:ctrlPr>
              <w:rPr>
                <w:rFonts w:ascii="Cambria Math" w:hAnsi="Cambria Math"/>
                <w:i/>
              </w:rPr>
            </m:ctrlPr>
          </m:fPr>
          <m:num>
            <m:r>
              <w:rPr>
                <w:rFonts w:ascii="Cambria Math" w:hAnsi="Cambria Math"/>
              </w:rPr>
              <m:t>44</m:t>
            </m:r>
          </m:num>
          <m:den>
            <m:r>
              <w:rPr>
                <w:rFonts w:ascii="Cambria Math" w:hAnsi="Cambria Math"/>
              </w:rPr>
              <m:t>100</m:t>
            </m:r>
          </m:den>
        </m:f>
      </m:oMath>
      <w:r>
        <w:rPr>
          <w:rFonts w:ascii="Calibri" w:hAnsi="Calibri" w:hint="eastAsia"/>
          <w:i/>
        </w:rPr>
        <w:t xml:space="preserve"> </w:t>
      </w:r>
      <w:r>
        <w:rPr>
          <w:rFonts w:ascii="Calibri" w:hAnsi="Calibri"/>
          <w:i/>
        </w:rPr>
        <w:t xml:space="preserve">  </w:t>
      </w:r>
      <w:r>
        <w:rPr>
          <w:rFonts w:ascii="Calibri" w:hAnsi="Calibri" w:hint="eastAsia"/>
          <w:i/>
          <w:iCs/>
          <w:kern w:val="2"/>
          <w:szCs w:val="21"/>
        </w:rPr>
        <w:t>——</w:t>
      </w:r>
      <w:r>
        <w:rPr>
          <w:rFonts w:ascii="Calibri" w:hAnsi="Calibri" w:hint="eastAsia"/>
          <w:iCs/>
          <w:kern w:val="2"/>
          <w:szCs w:val="21"/>
        </w:rPr>
        <w:t>二氧化</w:t>
      </w:r>
      <w:r>
        <w:rPr>
          <w:rFonts w:ascii="Calibri" w:hAnsi="Calibri" w:hint="eastAsia"/>
          <w:kern w:val="2"/>
          <w:szCs w:val="21"/>
        </w:rPr>
        <w:t>碳与碳酸钙（</w:t>
      </w:r>
      <w:r>
        <w:rPr>
          <w:rFonts w:ascii="Calibri" w:hAnsi="Calibri" w:hint="eastAsia"/>
          <w:kern w:val="2"/>
          <w:szCs w:val="21"/>
        </w:rPr>
        <w:t>CaCO</w:t>
      </w:r>
      <w:r>
        <w:rPr>
          <w:rFonts w:ascii="Calibri" w:hAnsi="Calibri" w:hint="eastAsia"/>
          <w:kern w:val="2"/>
          <w:szCs w:val="21"/>
          <w:vertAlign w:val="subscript"/>
        </w:rPr>
        <w:t>3</w:t>
      </w:r>
      <w:r>
        <w:rPr>
          <w:rFonts w:ascii="Calibri" w:hAnsi="Calibri" w:hint="eastAsia"/>
          <w:kern w:val="2"/>
          <w:szCs w:val="21"/>
        </w:rPr>
        <w:t>）的相对分子质量比；</w:t>
      </w:r>
    </w:p>
    <w:p w14:paraId="0DCFAA90" w14:textId="77777777" w:rsidR="00784CB6" w:rsidRDefault="00000000">
      <w:pPr>
        <w:pStyle w:val="afff4"/>
        <w:spacing w:line="520" w:lineRule="exact"/>
        <w:ind w:leftChars="-100" w:left="-210" w:firstLineChars="300" w:firstLine="630"/>
      </w:pPr>
      <m:oMath>
        <m:f>
          <m:fPr>
            <m:ctrlPr>
              <w:rPr>
                <w:rFonts w:ascii="Cambria Math" w:hAnsi="Cambria Math"/>
                <w:i/>
              </w:rPr>
            </m:ctrlPr>
          </m:fPr>
          <m:num>
            <m:r>
              <w:rPr>
                <w:rFonts w:ascii="Cambria Math" w:hAnsi="Cambria Math"/>
              </w:rPr>
              <m:t>44</m:t>
            </m:r>
          </m:num>
          <m:den>
            <m:r>
              <w:rPr>
                <w:rFonts w:ascii="Cambria Math" w:hAnsi="Cambria Math"/>
              </w:rPr>
              <m:t>84</m:t>
            </m:r>
          </m:den>
        </m:f>
      </m:oMath>
      <w:r>
        <w:rPr>
          <w:rFonts w:hint="eastAsia"/>
          <w:i/>
        </w:rPr>
        <w:t xml:space="preserve"> </w:t>
      </w:r>
      <w:r>
        <w:rPr>
          <w:i/>
        </w:rPr>
        <w:t xml:space="preserve">   </w:t>
      </w:r>
      <w:r>
        <w:rPr>
          <w:rFonts w:hint="eastAsia"/>
          <w:i/>
          <w:iCs/>
        </w:rPr>
        <w:t>——</w:t>
      </w:r>
      <w:r>
        <w:rPr>
          <w:rFonts w:hint="eastAsia"/>
          <w:iCs/>
        </w:rPr>
        <w:t>二氧化</w:t>
      </w:r>
      <w:r>
        <w:rPr>
          <w:rFonts w:hint="eastAsia"/>
        </w:rPr>
        <w:t>碳与碳酸镁（MgCO</w:t>
      </w:r>
      <w:r>
        <w:rPr>
          <w:rFonts w:hint="eastAsia"/>
          <w:vertAlign w:val="subscript"/>
        </w:rPr>
        <w:t>3</w:t>
      </w:r>
      <w:r>
        <w:rPr>
          <w:rFonts w:hint="eastAsia"/>
        </w:rPr>
        <w:t>）的相对分子质量比。</w:t>
      </w:r>
    </w:p>
    <w:p w14:paraId="72CF031E"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购入电力和输出电力及热力产生的排放</w:t>
      </w:r>
    </w:p>
    <w:p w14:paraId="0AB78791" w14:textId="77777777" w:rsidR="00784CB6" w:rsidRDefault="00000000">
      <w:pPr>
        <w:spacing w:beforeLines="100" w:before="24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6</w:t>
      </w:r>
      <w:r>
        <w:rPr>
          <w:rFonts w:asciiTheme="majorHAnsi" w:eastAsia="黑体" w:hAnsiTheme="majorHAnsi" w:cstheme="majorBidi"/>
          <w:b/>
          <w:bCs/>
          <w:sz w:val="24"/>
          <w:szCs w:val="32"/>
        </w:rPr>
        <w:t xml:space="preserve">.2.3 </w:t>
      </w:r>
      <w:r>
        <w:rPr>
          <w:rFonts w:asciiTheme="majorHAnsi" w:eastAsia="黑体" w:hAnsiTheme="majorHAnsi" w:cstheme="majorBidi" w:hint="eastAsia"/>
          <w:b/>
          <w:bCs/>
          <w:sz w:val="24"/>
          <w:szCs w:val="32"/>
        </w:rPr>
        <w:t>输入</w:t>
      </w:r>
      <w:r>
        <w:rPr>
          <w:rFonts w:asciiTheme="majorHAnsi" w:eastAsia="黑体" w:hAnsiTheme="majorHAnsi" w:cstheme="majorBidi" w:hint="eastAsia"/>
          <w:b/>
          <w:bCs/>
          <w:sz w:val="24"/>
          <w:szCs w:val="32"/>
        </w:rPr>
        <w:t>/</w:t>
      </w:r>
      <w:r>
        <w:rPr>
          <w:rFonts w:asciiTheme="majorHAnsi" w:eastAsia="黑体" w:hAnsiTheme="majorHAnsi" w:cstheme="majorBidi" w:hint="eastAsia"/>
          <w:b/>
          <w:bCs/>
          <w:sz w:val="24"/>
          <w:szCs w:val="32"/>
        </w:rPr>
        <w:t>输出电力热力所产生碳排放量</w:t>
      </w:r>
    </w:p>
    <w:p w14:paraId="3DD88E48"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电网排放因子应选用国家主管部门最近年份公布的全国统一电力二氧化碳排放因子。热力排放因子优先采用供热单位的实测值，也可取附表</w:t>
      </w:r>
      <w:r>
        <w:rPr>
          <w:rFonts w:ascii="宋体" w:eastAsia="宋体" w:hAnsi="宋体"/>
          <w:sz w:val="24"/>
          <w:szCs w:val="24"/>
        </w:rPr>
        <w:t>B</w:t>
      </w:r>
      <w:r>
        <w:rPr>
          <w:rFonts w:ascii="宋体" w:eastAsia="宋体" w:hAnsi="宋体" w:hint="eastAsia"/>
          <w:sz w:val="24"/>
          <w:szCs w:val="24"/>
        </w:rPr>
        <w:t>.2中缺省值或政府主管部门发布的官方数据。按公式（6）～（9）计算。</w:t>
      </w:r>
    </w:p>
    <w:p w14:paraId="37D73A5F" w14:textId="77777777" w:rsidR="00784CB6" w:rsidRDefault="00784CB6">
      <w:pPr>
        <w:pStyle w:val="2"/>
      </w:pPr>
    </w:p>
    <w:p w14:paraId="56E71CA9" w14:textId="77777777" w:rsidR="00784CB6" w:rsidRDefault="00000000">
      <w:pPr>
        <w:pStyle w:val="afff7"/>
        <w:jc w:val="center"/>
      </w:pPr>
      <m:oMathPara>
        <m:oMath>
          <m:r>
            <m:rPr>
              <m:sty m:val="p"/>
            </m:rPr>
            <w:rPr>
              <w:rFonts w:ascii="Cambria Math" w:hAnsi="Cambria Math"/>
            </w:rPr>
            <w:lastRenderedPageBreak/>
            <m:t xml:space="preserve">                             </m:t>
          </m:r>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购入电</m:t>
              </m:r>
            </m:sub>
          </m:sSub>
          <m:r>
            <w:rPr>
              <w:rFonts w:ascii="Cambria Math" w:hAnsi="Cambria Math"/>
            </w:rPr>
            <m:t>=</m:t>
          </m:r>
          <m:sSub>
            <m:sSubPr>
              <m:ctrlPr>
                <w:rPr>
                  <w:rFonts w:ascii="Cambria Math" w:hAnsi="Cambria Math"/>
                  <w:i/>
                </w:rPr>
              </m:ctrlPr>
            </m:sSubPr>
            <m:e>
              <m:r>
                <w:rPr>
                  <w:rFonts w:ascii="Cambria Math" w:hAnsi="Cambria Math"/>
                </w:rPr>
                <m:t>AD</m:t>
              </m:r>
            </m:e>
            <m:sub>
              <m:r>
                <m:rPr>
                  <m:sty m:val="p"/>
                </m:rPr>
                <w:rPr>
                  <w:rFonts w:ascii="Cambria Math" w:hAnsi="Cambria Math" w:hint="eastAsia"/>
                </w:rPr>
                <m:t>购入电</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hint="eastAsia"/>
                </w:rPr>
                <m:t>电</m:t>
              </m:r>
            </m:sub>
          </m:sSub>
          <m:r>
            <w:rPr>
              <w:rFonts w:ascii="Cambria Math" w:hAnsi="Cambria Math"/>
            </w:rPr>
            <m:t>…………………………………………..(6)</m:t>
          </m:r>
        </m:oMath>
      </m:oMathPara>
    </w:p>
    <w:p w14:paraId="7B436A8A" w14:textId="77777777" w:rsidR="00784CB6" w:rsidRDefault="00000000">
      <w:pPr>
        <w:pStyle w:val="afff6"/>
        <w:spacing w:before="120" w:after="120"/>
        <w:ind w:firstLine="420"/>
      </w:pPr>
      <w:r>
        <w:rPr>
          <w:rFonts w:hint="eastAsia"/>
        </w:rPr>
        <w:t>式中：</w:t>
      </w:r>
    </w:p>
    <w:bookmarkStart w:id="22" w:name="_Hlk133399148"/>
    <w:p w14:paraId="645B2698"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购入电</m:t>
            </m:r>
          </m:sub>
        </m:sSub>
      </m:oMath>
      <w:r>
        <w:rPr>
          <w:rFonts w:ascii="Cambria Math" w:hAnsi="Cambria Math" w:hint="eastAsia"/>
          <w:i/>
        </w:rPr>
        <w:t xml:space="preserve"> </w:t>
      </w:r>
      <w:r>
        <w:rPr>
          <w:rFonts w:ascii="Cambria Math" w:hAnsi="Cambria Math"/>
          <w:i/>
        </w:rPr>
        <w:t xml:space="preserve"> </w:t>
      </w:r>
      <w:r>
        <w:rPr>
          <w:rFonts w:ascii="Cambria Math" w:hAnsi="Cambria Math" w:hint="eastAsia"/>
          <w:i/>
          <w:kern w:val="2"/>
          <w:szCs w:val="21"/>
        </w:rPr>
        <w:t>——</w:t>
      </w:r>
      <w:r>
        <w:rPr>
          <w:rFonts w:ascii="Cambria Math" w:hAnsi="Cambria Math" w:hint="eastAsia"/>
          <w:iCs/>
          <w:kern w:val="2"/>
          <w:szCs w:val="21"/>
        </w:rPr>
        <w:t>购入电力所产生的二氧化碳排放量，单位为吨二氧化碳（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p w14:paraId="17E475CE"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AD</m:t>
            </m:r>
          </m:e>
          <m:sub>
            <m:r>
              <m:rPr>
                <m:sty m:val="p"/>
              </m:rPr>
              <w:rPr>
                <w:rFonts w:ascii="Cambria Math" w:hAnsi="Cambria Math" w:hint="eastAsia"/>
              </w:rPr>
              <m:t>购入电</m:t>
            </m:r>
          </m:sub>
        </m:sSub>
      </m:oMath>
      <w:r>
        <w:rPr>
          <w:rFonts w:ascii="Cambria Math" w:hAnsi="Cambria Math" w:hint="eastAsia"/>
          <w:i/>
          <w:kern w:val="2"/>
          <w:szCs w:val="21"/>
        </w:rPr>
        <w:t>——</w:t>
      </w:r>
      <w:r>
        <w:rPr>
          <w:rFonts w:ascii="Cambria Math" w:hAnsi="Cambria Math" w:hint="eastAsia"/>
          <w:iCs/>
          <w:kern w:val="2"/>
          <w:szCs w:val="21"/>
        </w:rPr>
        <w:t>核算和报告期内购入的电量，单位为兆瓦时（</w:t>
      </w:r>
      <w:r>
        <w:rPr>
          <w:rFonts w:ascii="Cambria Math" w:hAnsi="Cambria Math" w:hint="eastAsia"/>
          <w:iCs/>
          <w:kern w:val="2"/>
          <w:szCs w:val="21"/>
        </w:rPr>
        <w:t>MW</w:t>
      </w:r>
      <w:r>
        <w:rPr>
          <w:rFonts w:ascii="Cambria Math" w:hAnsi="Cambria Math" w:hint="eastAsia"/>
          <w:iCs/>
          <w:kern w:val="2"/>
          <w:szCs w:val="21"/>
        </w:rPr>
        <w:t>•</w:t>
      </w:r>
      <w:r>
        <w:rPr>
          <w:rFonts w:ascii="Cambria Math" w:hAnsi="Cambria Math" w:hint="eastAsia"/>
          <w:iCs/>
          <w:kern w:val="2"/>
          <w:szCs w:val="21"/>
        </w:rPr>
        <w:t>h</w:t>
      </w:r>
      <w:r>
        <w:rPr>
          <w:rFonts w:ascii="Cambria Math" w:hAnsi="Cambria Math" w:hint="eastAsia"/>
          <w:iCs/>
          <w:kern w:val="2"/>
          <w:szCs w:val="21"/>
        </w:rPr>
        <w:t>）；</w:t>
      </w:r>
    </w:p>
    <w:p w14:paraId="3288187C"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EF</m:t>
            </m:r>
          </m:e>
          <m:sub>
            <m:r>
              <w:rPr>
                <w:rFonts w:ascii="Cambria Math" w:hAnsi="Cambria Math" w:hint="eastAsia"/>
              </w:rPr>
              <m:t>电</m:t>
            </m:r>
          </m:sub>
        </m:sSub>
      </m:oMath>
      <w:r>
        <w:rPr>
          <w:rFonts w:ascii="Cambria Math" w:hAnsi="Cambria Math" w:hint="eastAsia"/>
          <w:i/>
        </w:rPr>
        <w:t xml:space="preserve"> </w:t>
      </w:r>
      <w:r>
        <w:rPr>
          <w:rFonts w:ascii="Cambria Math" w:hAnsi="Cambria Math"/>
          <w:i/>
        </w:rPr>
        <w:t xml:space="preserve">  </w:t>
      </w:r>
      <w:r>
        <w:rPr>
          <w:rFonts w:ascii="Cambria Math" w:hAnsi="Cambria Math" w:hint="eastAsia"/>
          <w:i/>
          <w:kern w:val="2"/>
          <w:szCs w:val="21"/>
        </w:rPr>
        <w:t>——</w:t>
      </w:r>
      <w:r>
        <w:rPr>
          <w:rFonts w:ascii="Cambria Math" w:hAnsi="Cambria Math" w:hint="eastAsia"/>
          <w:iCs/>
          <w:kern w:val="2"/>
          <w:szCs w:val="21"/>
        </w:rPr>
        <w:t>电力的碳排放因子，单位为吨二氧化碳每兆瓦时（</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 MW</w:t>
      </w:r>
      <w:r>
        <w:rPr>
          <w:rFonts w:ascii="Cambria Math" w:hAnsi="Cambria Math" w:hint="eastAsia"/>
          <w:iCs/>
          <w:kern w:val="2"/>
          <w:szCs w:val="21"/>
        </w:rPr>
        <w:t>•</w:t>
      </w:r>
      <w:r>
        <w:rPr>
          <w:rFonts w:ascii="Cambria Math" w:hAnsi="Cambria Math" w:hint="eastAsia"/>
          <w:iCs/>
          <w:kern w:val="2"/>
          <w:szCs w:val="21"/>
        </w:rPr>
        <w:t>h</w:t>
      </w:r>
      <w:r>
        <w:rPr>
          <w:rFonts w:ascii="Cambria Math" w:hAnsi="Cambria Math" w:hint="eastAsia"/>
          <w:iCs/>
          <w:kern w:val="2"/>
          <w:szCs w:val="21"/>
        </w:rPr>
        <w:t>）。</w:t>
      </w:r>
    </w:p>
    <w:bookmarkStart w:id="23" w:name="_Hlk133399114"/>
    <w:bookmarkEnd w:id="22"/>
    <w:p w14:paraId="2A200CD0" w14:textId="77777777" w:rsidR="00784CB6" w:rsidRDefault="00000000">
      <w:pPr>
        <w:pStyle w:val="afff7"/>
        <w:jc w:val="center"/>
      </w:pPr>
      <m:oMathPara>
        <m:oMath>
          <m:sSub>
            <m:sSubPr>
              <m:ctrlPr>
                <w:rPr>
                  <w:rFonts w:ascii="Cambria Math" w:hAnsi="Cambria Math"/>
                  <w:i/>
                </w:rPr>
              </m:ctrlPr>
            </m:sSubPr>
            <m:e>
              <m:r>
                <w:rPr>
                  <w:rFonts w:ascii="Cambria Math" w:hAnsi="Cambria Math"/>
                </w:rPr>
                <m:t xml:space="preserve">                           E</m:t>
              </m:r>
            </m:e>
            <m:sub>
              <m:r>
                <m:rPr>
                  <m:sty m:val="p"/>
                </m:rPr>
                <w:rPr>
                  <w:rFonts w:ascii="Cambria Math" w:hAnsi="Cambria Math" w:hint="eastAsia"/>
                </w:rPr>
                <m:t>购入热</m:t>
              </m:r>
            </m:sub>
          </m:sSub>
          <m:r>
            <w:rPr>
              <w:rFonts w:ascii="Cambria Math" w:hAnsi="Cambria Math"/>
            </w:rPr>
            <m:t>=</m:t>
          </m:r>
          <m:sSub>
            <m:sSubPr>
              <m:ctrlPr>
                <w:rPr>
                  <w:rFonts w:ascii="Cambria Math" w:hAnsi="Cambria Math"/>
                  <w:i/>
                </w:rPr>
              </m:ctrlPr>
            </m:sSubPr>
            <m:e>
              <m:r>
                <w:rPr>
                  <w:rFonts w:ascii="Cambria Math" w:hAnsi="Cambria Math"/>
                </w:rPr>
                <m:t>AD</m:t>
              </m:r>
            </m:e>
            <m:sub>
              <m:r>
                <m:rPr>
                  <m:sty m:val="p"/>
                </m:rPr>
                <w:rPr>
                  <w:rFonts w:ascii="Cambria Math" w:hAnsi="Cambria Math" w:hint="eastAsia"/>
                </w:rPr>
                <m:t>购入热</m:t>
              </m:r>
            </m:sub>
          </m:sSub>
          <m:r>
            <w:rPr>
              <w:rFonts w:ascii="Cambria Math" w:hAnsi="Cambria Math"/>
            </w:rPr>
            <m:t>×</m:t>
          </m:r>
          <m:sSub>
            <m:sSubPr>
              <m:ctrlPr>
                <w:rPr>
                  <w:rFonts w:ascii="Cambria Math" w:hAnsi="Cambria Math"/>
                  <w:i/>
                </w:rPr>
              </m:ctrlPr>
            </m:sSubPr>
            <m:e>
              <m:r>
                <w:rPr>
                  <w:rFonts w:ascii="Cambria Math" w:hAnsi="Cambria Math"/>
                </w:rPr>
                <m:t>EF</m:t>
              </m:r>
            </m:e>
            <m:sub>
              <m:r>
                <w:rPr>
                  <w:rFonts w:ascii="Cambria Math" w:hAnsi="Cambria Math" w:hint="eastAsia"/>
                </w:rPr>
                <m:t>热</m:t>
              </m:r>
            </m:sub>
          </m:sSub>
          <w:bookmarkEnd w:id="23"/>
          <m:r>
            <w:rPr>
              <w:rFonts w:ascii="Cambria Math" w:hAnsi="Cambria Math"/>
            </w:rPr>
            <m:t>…………..…………….…………………(7)</m:t>
          </m:r>
        </m:oMath>
      </m:oMathPara>
    </w:p>
    <w:p w14:paraId="2A985125" w14:textId="77777777" w:rsidR="00784CB6" w:rsidRDefault="00000000">
      <w:pPr>
        <w:pStyle w:val="afff6"/>
        <w:spacing w:before="120" w:after="120"/>
        <w:ind w:firstLine="420"/>
      </w:pPr>
      <w:r>
        <w:rPr>
          <w:rFonts w:hint="eastAsia"/>
        </w:rPr>
        <w:t>式中：</w:t>
      </w:r>
    </w:p>
    <w:p w14:paraId="306DBA28"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购入热</m:t>
            </m:r>
          </m:sub>
        </m:sSub>
      </m:oMath>
      <w:r>
        <w:rPr>
          <w:rFonts w:ascii="Cambria Math" w:hAnsi="Cambria Math" w:hint="eastAsia"/>
          <w:i/>
        </w:rPr>
        <w:t xml:space="preserve"> </w:t>
      </w:r>
      <w:r>
        <w:rPr>
          <w:rFonts w:ascii="Cambria Math" w:hAnsi="Cambria Math"/>
          <w:i/>
        </w:rPr>
        <w:t xml:space="preserve"> </w:t>
      </w:r>
      <w:r>
        <w:rPr>
          <w:rFonts w:ascii="Cambria Math" w:hAnsi="Cambria Math" w:hint="eastAsia"/>
          <w:i/>
          <w:kern w:val="2"/>
          <w:szCs w:val="21"/>
        </w:rPr>
        <w:t>——</w:t>
      </w:r>
      <w:r>
        <w:rPr>
          <w:rFonts w:ascii="Cambria Math" w:hAnsi="Cambria Math" w:hint="eastAsia"/>
          <w:iCs/>
          <w:kern w:val="2"/>
          <w:szCs w:val="21"/>
        </w:rPr>
        <w:t>购入热力所产生的二氧化碳排放量，单位为吨二氧化碳（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p w14:paraId="7C8B4F78"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AD</m:t>
            </m:r>
          </m:e>
          <m:sub>
            <m:r>
              <m:rPr>
                <m:sty m:val="p"/>
              </m:rPr>
              <w:rPr>
                <w:rFonts w:ascii="Cambria Math" w:hAnsi="Cambria Math" w:hint="eastAsia"/>
              </w:rPr>
              <m:t>购入热</m:t>
            </m:r>
          </m:sub>
        </m:sSub>
      </m:oMath>
      <w:r>
        <w:rPr>
          <w:rFonts w:ascii="Cambria Math" w:hAnsi="Cambria Math" w:hint="eastAsia"/>
          <w:i/>
          <w:kern w:val="2"/>
          <w:szCs w:val="21"/>
        </w:rPr>
        <w:t>——</w:t>
      </w:r>
      <w:r>
        <w:rPr>
          <w:rFonts w:ascii="Cambria Math" w:hAnsi="Cambria Math" w:hint="eastAsia"/>
          <w:iCs/>
          <w:kern w:val="2"/>
          <w:szCs w:val="21"/>
        </w:rPr>
        <w:t>核算和报告期内购入的热量，单位为吉焦（</w:t>
      </w:r>
      <w:r>
        <w:rPr>
          <w:rFonts w:ascii="Cambria Math" w:hAnsi="Cambria Math"/>
          <w:iCs/>
          <w:kern w:val="2"/>
          <w:szCs w:val="21"/>
        </w:rPr>
        <w:t>GJ</w:t>
      </w:r>
      <w:r>
        <w:rPr>
          <w:rFonts w:ascii="Cambria Math" w:hAnsi="Cambria Math" w:hint="eastAsia"/>
          <w:iCs/>
          <w:kern w:val="2"/>
          <w:szCs w:val="21"/>
        </w:rPr>
        <w:t>）；</w:t>
      </w:r>
    </w:p>
    <w:p w14:paraId="07749E9E"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EF</m:t>
            </m:r>
          </m:e>
          <m:sub>
            <m:r>
              <w:rPr>
                <w:rFonts w:ascii="Cambria Math" w:hAnsi="Cambria Math" w:hint="eastAsia"/>
              </w:rPr>
              <m:t>热</m:t>
            </m:r>
          </m:sub>
        </m:sSub>
      </m:oMath>
      <w:r>
        <w:rPr>
          <w:rFonts w:ascii="Cambria Math" w:hAnsi="Cambria Math" w:hint="eastAsia"/>
          <w:i/>
        </w:rPr>
        <w:t xml:space="preserve">  </w:t>
      </w:r>
      <w:r>
        <w:rPr>
          <w:rFonts w:ascii="Cambria Math" w:hAnsi="Cambria Math"/>
          <w:i/>
        </w:rPr>
        <w:t xml:space="preserve"> </w:t>
      </w:r>
      <w:r>
        <w:rPr>
          <w:rFonts w:ascii="Cambria Math" w:hAnsi="Cambria Math" w:hint="eastAsia"/>
          <w:i/>
          <w:kern w:val="2"/>
          <w:szCs w:val="21"/>
        </w:rPr>
        <w:t>——</w:t>
      </w:r>
      <w:r>
        <w:rPr>
          <w:rFonts w:ascii="Cambria Math" w:hAnsi="Cambria Math" w:hint="eastAsia"/>
          <w:iCs/>
          <w:kern w:val="2"/>
          <w:szCs w:val="21"/>
        </w:rPr>
        <w:t>热力的碳排放因子，单位为吨二氧化碳每吉焦（</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 xml:space="preserve">/ </w:t>
      </w:r>
      <w:r>
        <w:rPr>
          <w:rFonts w:ascii="Cambria Math" w:hAnsi="Cambria Math"/>
          <w:iCs/>
          <w:kern w:val="2"/>
          <w:szCs w:val="21"/>
        </w:rPr>
        <w:t>GJ</w:t>
      </w:r>
      <w:r>
        <w:rPr>
          <w:rFonts w:ascii="Cambria Math" w:hAnsi="Cambria Math" w:hint="eastAsia"/>
          <w:iCs/>
          <w:kern w:val="2"/>
          <w:szCs w:val="21"/>
        </w:rPr>
        <w:t>）。</w:t>
      </w:r>
    </w:p>
    <w:p w14:paraId="1FF5B5CB" w14:textId="77777777" w:rsidR="00784CB6" w:rsidRDefault="00000000">
      <w:pPr>
        <w:pStyle w:val="afff7"/>
      </w:pPr>
      <w:r>
        <w:tab/>
      </w:r>
      <w:bookmarkStart w:id="24" w:name="_Hlk133399230"/>
      <m:oMath>
        <m:r>
          <m:rPr>
            <m:sty m:val="p"/>
          </m:rPr>
          <w:rPr>
            <w:rFonts w:ascii="Cambria Math" w:hAnsi="Cambria Math"/>
          </w:rPr>
          <m:t xml:space="preserve">                        </m:t>
        </m:r>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输出电</m:t>
            </m:r>
          </m:sub>
        </m:sSub>
        <m:r>
          <w:rPr>
            <w:rFonts w:ascii="Cambria Math" w:hAnsi="Cambria Math"/>
          </w:rPr>
          <m:t>=</m:t>
        </m:r>
        <m:sSub>
          <m:sSubPr>
            <m:ctrlPr>
              <w:rPr>
                <w:rFonts w:ascii="Cambria Math" w:hAnsi="Cambria Math"/>
                <w:i/>
              </w:rPr>
            </m:ctrlPr>
          </m:sSubPr>
          <m:e>
            <m:r>
              <w:rPr>
                <w:rFonts w:ascii="Cambria Math" w:hAnsi="Cambria Math"/>
              </w:rPr>
              <m:t>AD</m:t>
            </m:r>
          </m:e>
          <m:sub>
            <m:r>
              <m:rPr>
                <m:sty m:val="p"/>
              </m:rPr>
              <w:rPr>
                <w:rFonts w:ascii="Cambria Math" w:hAnsi="Cambria Math" w:hint="eastAsia"/>
              </w:rPr>
              <m:t>输出电</m:t>
            </m:r>
          </m:sub>
        </m:sSub>
        <m:r>
          <w:rPr>
            <w:rFonts w:ascii="Cambria Math" w:hAnsi="Cambria Math"/>
          </w:rPr>
          <m:t>×</m:t>
        </m:r>
        <m:sSub>
          <m:sSubPr>
            <m:ctrlPr>
              <w:rPr>
                <w:rFonts w:ascii="Cambria Math" w:hAnsi="Cambria Math"/>
                <w:i/>
              </w:rPr>
            </m:ctrlPr>
          </m:sSubPr>
          <m:e>
            <m:r>
              <w:rPr>
                <w:rFonts w:ascii="Cambria Math" w:hAnsi="Cambria Math"/>
              </w:rPr>
              <m:t>EF</m:t>
            </m:r>
          </m:e>
          <m:sub>
            <m:r>
              <m:rPr>
                <m:sty m:val="p"/>
              </m:rPr>
              <w:rPr>
                <w:rFonts w:ascii="Cambria Math" w:hAnsi="Cambria Math" w:hint="eastAsia"/>
              </w:rPr>
              <m:t>电</m:t>
            </m:r>
          </m:sub>
        </m:sSub>
        <w:bookmarkEnd w:id="24"/>
        <m:r>
          <w:rPr>
            <w:rFonts w:ascii="Cambria Math" w:hAnsi="Cambria Math"/>
          </w:rPr>
          <m:t>…………..…………………………….(8)</m:t>
        </m:r>
      </m:oMath>
    </w:p>
    <w:p w14:paraId="304BEE89" w14:textId="77777777" w:rsidR="00784CB6" w:rsidRDefault="00000000">
      <w:pPr>
        <w:pStyle w:val="afff6"/>
        <w:spacing w:before="120" w:after="120"/>
        <w:ind w:firstLine="420"/>
      </w:pPr>
      <w:r>
        <w:rPr>
          <w:rFonts w:hint="eastAsia"/>
        </w:rPr>
        <w:t>式中：</w:t>
      </w:r>
    </w:p>
    <w:p w14:paraId="6C0AC3AD" w14:textId="77777777" w:rsidR="00784CB6" w:rsidRDefault="00000000">
      <w:pPr>
        <w:pStyle w:val="afff4"/>
        <w:spacing w:line="480" w:lineRule="exact"/>
        <w:ind w:leftChars="200" w:left="9345" w:hangingChars="4250" w:hanging="8925"/>
        <w:rPr>
          <w:rFonts w:ascii="Cambria Math" w:hAnsi="Cambria Math"/>
          <w:iCs/>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输出电</m:t>
            </m:r>
          </m:sub>
        </m:sSub>
      </m:oMath>
      <w:r>
        <w:rPr>
          <w:rFonts w:ascii="Cambria Math" w:hAnsi="Cambria Math"/>
          <w:iCs/>
          <w:kern w:val="2"/>
          <w:szCs w:val="21"/>
        </w:rPr>
        <w:t xml:space="preserve">  </w:t>
      </w:r>
      <w:r>
        <w:rPr>
          <w:rFonts w:ascii="Cambria Math" w:hAnsi="Cambria Math" w:hint="eastAsia"/>
          <w:i/>
          <w:kern w:val="2"/>
          <w:szCs w:val="21"/>
        </w:rPr>
        <w:t>——</w:t>
      </w:r>
      <w:r>
        <w:rPr>
          <w:rFonts w:ascii="Cambria Math" w:hAnsi="Cambria Math" w:hint="eastAsia"/>
          <w:iCs/>
          <w:kern w:val="2"/>
          <w:szCs w:val="21"/>
        </w:rPr>
        <w:t>输出电力所产生的二氧化碳排放量，单位为吨二氧化碳（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r>
        <w:rPr>
          <w:rFonts w:ascii="Cambria Math" w:hAnsi="Cambria Math"/>
          <w:iCs/>
          <w:kern w:val="2"/>
          <w:szCs w:val="21"/>
        </w:rPr>
        <w:t xml:space="preserve">                </w:t>
      </w:r>
    </w:p>
    <w:p w14:paraId="7401AFBE"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AD</m:t>
            </m:r>
          </m:e>
          <m:sub>
            <m:r>
              <m:rPr>
                <m:sty m:val="p"/>
              </m:rPr>
              <w:rPr>
                <w:rFonts w:ascii="Cambria Math" w:hAnsi="Cambria Math" w:hint="eastAsia"/>
              </w:rPr>
              <m:t>输出电</m:t>
            </m:r>
          </m:sub>
        </m:sSub>
      </m:oMath>
      <w:r>
        <w:rPr>
          <w:rFonts w:ascii="Cambria Math" w:hAnsi="Cambria Math" w:hint="eastAsia"/>
          <w:i/>
          <w:kern w:val="2"/>
          <w:szCs w:val="21"/>
        </w:rPr>
        <w:t>——</w:t>
      </w:r>
      <w:r>
        <w:rPr>
          <w:rFonts w:ascii="Cambria Math" w:hAnsi="Cambria Math" w:hint="eastAsia"/>
          <w:iCs/>
          <w:kern w:val="2"/>
          <w:szCs w:val="21"/>
        </w:rPr>
        <w:t>核算和报告期内输出的电量，单位为兆瓦时（</w:t>
      </w:r>
      <w:r>
        <w:rPr>
          <w:rFonts w:ascii="Cambria Math" w:hAnsi="Cambria Math" w:hint="eastAsia"/>
          <w:iCs/>
          <w:kern w:val="2"/>
          <w:szCs w:val="21"/>
        </w:rPr>
        <w:t>MW</w:t>
      </w:r>
      <w:r>
        <w:rPr>
          <w:rFonts w:ascii="Cambria Math" w:hAnsi="Cambria Math" w:hint="eastAsia"/>
          <w:iCs/>
          <w:kern w:val="2"/>
          <w:szCs w:val="21"/>
        </w:rPr>
        <w:t>•</w:t>
      </w:r>
      <w:r>
        <w:rPr>
          <w:rFonts w:ascii="Cambria Math" w:hAnsi="Cambria Math" w:hint="eastAsia"/>
          <w:iCs/>
          <w:kern w:val="2"/>
          <w:szCs w:val="21"/>
        </w:rPr>
        <w:t>h</w:t>
      </w:r>
      <w:r>
        <w:rPr>
          <w:rFonts w:ascii="Cambria Math" w:hAnsi="Cambria Math" w:hint="eastAsia"/>
          <w:iCs/>
          <w:kern w:val="2"/>
          <w:szCs w:val="21"/>
        </w:rPr>
        <w:t>）；</w:t>
      </w:r>
    </w:p>
    <w:p w14:paraId="7FBFFB70"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EF</m:t>
            </m:r>
          </m:e>
          <m:sub>
            <m:r>
              <m:rPr>
                <m:sty m:val="p"/>
              </m:rPr>
              <w:rPr>
                <w:rFonts w:ascii="Cambria Math" w:hAnsi="Cambria Math" w:hint="eastAsia"/>
              </w:rPr>
              <m:t>电</m:t>
            </m:r>
          </m:sub>
        </m:sSub>
      </m:oMath>
      <w:r>
        <w:rPr>
          <w:rFonts w:ascii="Cambria Math" w:hAnsi="Cambria Math" w:hint="eastAsia"/>
          <w:i/>
        </w:rPr>
        <w:t xml:space="preserve">  </w:t>
      </w:r>
      <w:r>
        <w:rPr>
          <w:rFonts w:ascii="Cambria Math" w:hAnsi="Cambria Math"/>
          <w:i/>
        </w:rPr>
        <w:t xml:space="preserve"> </w:t>
      </w:r>
      <w:r>
        <w:rPr>
          <w:rFonts w:ascii="Cambria Math" w:hAnsi="Cambria Math" w:hint="eastAsia"/>
          <w:i/>
          <w:kern w:val="2"/>
          <w:szCs w:val="21"/>
        </w:rPr>
        <w:t>——</w:t>
      </w:r>
      <w:r>
        <w:rPr>
          <w:rFonts w:ascii="Cambria Math" w:hAnsi="Cambria Math" w:hint="eastAsia"/>
          <w:iCs/>
          <w:kern w:val="2"/>
          <w:szCs w:val="21"/>
        </w:rPr>
        <w:t>电力的碳排放因子，单位为吨碳每兆瓦时（</w:t>
      </w:r>
      <w:r>
        <w:rPr>
          <w:rFonts w:hAnsi="宋体"/>
          <w:iCs/>
          <w:kern w:val="2"/>
          <w:szCs w:val="21"/>
        </w:rPr>
        <w:t>tCO</w:t>
      </w:r>
      <w:r>
        <w:rPr>
          <w:rFonts w:hAnsi="宋体"/>
          <w:iCs/>
          <w:kern w:val="2"/>
          <w:szCs w:val="21"/>
          <w:vertAlign w:val="subscript"/>
        </w:rPr>
        <w:t>2</w:t>
      </w:r>
      <w:r>
        <w:rPr>
          <w:rFonts w:hAnsi="宋体"/>
          <w:iCs/>
          <w:kern w:val="2"/>
          <w:szCs w:val="21"/>
        </w:rPr>
        <w:t xml:space="preserve">/ </w:t>
      </w:r>
      <w:proofErr w:type="spellStart"/>
      <w:r>
        <w:rPr>
          <w:rFonts w:hAnsi="宋体"/>
          <w:iCs/>
          <w:kern w:val="2"/>
          <w:szCs w:val="21"/>
        </w:rPr>
        <w:t>MW•h</w:t>
      </w:r>
      <w:proofErr w:type="spellEnd"/>
      <w:r>
        <w:rPr>
          <w:rFonts w:ascii="Cambria Math" w:hAnsi="Cambria Math" w:hint="eastAsia"/>
          <w:iCs/>
          <w:kern w:val="2"/>
          <w:szCs w:val="21"/>
        </w:rPr>
        <w:t>）。</w:t>
      </w:r>
    </w:p>
    <w:p w14:paraId="031DFBCA" w14:textId="77777777" w:rsidR="00784CB6" w:rsidRDefault="00000000">
      <w:pPr>
        <w:pStyle w:val="afff7"/>
      </w:pPr>
      <w:r>
        <w:tab/>
        <w:t xml:space="preserve">                         </w:t>
      </w: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输出热</m:t>
            </m:r>
          </m:sub>
        </m:sSub>
        <m:r>
          <w:rPr>
            <w:rFonts w:ascii="Cambria Math" w:hAnsi="Cambria Math"/>
          </w:rPr>
          <m:t>=</m:t>
        </m:r>
        <m:sSub>
          <m:sSubPr>
            <m:ctrlPr>
              <w:rPr>
                <w:rFonts w:ascii="Cambria Math" w:hAnsi="Cambria Math"/>
                <w:i/>
              </w:rPr>
            </m:ctrlPr>
          </m:sSubPr>
          <m:e>
            <m:r>
              <w:rPr>
                <w:rFonts w:ascii="Cambria Math" w:hAnsi="Cambria Math"/>
              </w:rPr>
              <m:t>AD</m:t>
            </m:r>
          </m:e>
          <m:sub>
            <m:r>
              <m:rPr>
                <m:sty m:val="p"/>
              </m:rPr>
              <w:rPr>
                <w:rFonts w:ascii="Cambria Math" w:hAnsi="Cambria Math" w:hint="eastAsia"/>
              </w:rPr>
              <m:t>输出热</m:t>
            </m:r>
          </m:sub>
        </m:sSub>
        <m:r>
          <w:rPr>
            <w:rFonts w:ascii="Cambria Math" w:hAnsi="Cambria Math"/>
          </w:rPr>
          <m:t>×</m:t>
        </m:r>
        <m:sSub>
          <m:sSubPr>
            <m:ctrlPr>
              <w:rPr>
                <w:rFonts w:ascii="Cambria Math" w:hAnsi="Cambria Math"/>
                <w:i/>
              </w:rPr>
            </m:ctrlPr>
          </m:sSubPr>
          <m:e>
            <m:r>
              <w:rPr>
                <w:rFonts w:ascii="Cambria Math" w:hAnsi="Cambria Math"/>
              </w:rPr>
              <m:t>EF</m:t>
            </m:r>
          </m:e>
          <m:sub>
            <m:r>
              <m:rPr>
                <m:sty m:val="p"/>
              </m:rPr>
              <w:rPr>
                <w:rFonts w:ascii="Cambria Math" w:hAnsi="Cambria Math" w:hint="eastAsia"/>
              </w:rPr>
              <m:t>热</m:t>
            </m:r>
          </m:sub>
        </m:sSub>
        <m:r>
          <w:rPr>
            <w:rFonts w:ascii="Cambria Math" w:hAnsi="Cambria Math"/>
          </w:rPr>
          <m:t>………………………………………(9)</m:t>
        </m:r>
      </m:oMath>
    </w:p>
    <w:p w14:paraId="305130DA" w14:textId="77777777" w:rsidR="00784CB6" w:rsidRDefault="00000000">
      <w:pPr>
        <w:pStyle w:val="afff6"/>
        <w:spacing w:before="120" w:after="120"/>
        <w:ind w:firstLine="420"/>
      </w:pPr>
      <w:r>
        <w:rPr>
          <w:rFonts w:hint="eastAsia"/>
        </w:rPr>
        <w:t>式中：</w:t>
      </w:r>
    </w:p>
    <w:p w14:paraId="35CBE514"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E</m:t>
            </m:r>
          </m:e>
          <m:sub>
            <m:r>
              <m:rPr>
                <m:sty m:val="p"/>
              </m:rPr>
              <w:rPr>
                <w:rFonts w:ascii="Cambria Math" w:hAnsi="Cambria Math" w:hint="eastAsia"/>
              </w:rPr>
              <m:t>输出热</m:t>
            </m:r>
          </m:sub>
        </m:sSub>
      </m:oMath>
      <w:r>
        <w:rPr>
          <w:rFonts w:ascii="Cambria Math" w:hAnsi="Cambria Math" w:hint="eastAsia"/>
          <w:i/>
        </w:rPr>
        <w:t xml:space="preserve"> </w:t>
      </w:r>
      <w:r>
        <w:rPr>
          <w:rFonts w:ascii="Cambria Math" w:hAnsi="Cambria Math" w:hint="eastAsia"/>
          <w:i/>
          <w:kern w:val="2"/>
          <w:szCs w:val="21"/>
        </w:rPr>
        <w:t>——</w:t>
      </w:r>
      <w:r>
        <w:rPr>
          <w:rFonts w:ascii="Cambria Math" w:hAnsi="Cambria Math" w:hint="eastAsia"/>
          <w:iCs/>
          <w:kern w:val="2"/>
          <w:szCs w:val="21"/>
        </w:rPr>
        <w:t>输出热力所产生的二氧化碳排放量，单位为吨二氧化碳（</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w:t>
      </w:r>
    </w:p>
    <w:p w14:paraId="6A1FFE7D"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AD</m:t>
            </m:r>
          </m:e>
          <m:sub>
            <m:r>
              <m:rPr>
                <m:sty m:val="p"/>
              </m:rPr>
              <w:rPr>
                <w:rFonts w:ascii="Cambria Math" w:hAnsi="Cambria Math" w:hint="eastAsia"/>
              </w:rPr>
              <m:t>输出热</m:t>
            </m:r>
          </m:sub>
        </m:sSub>
      </m:oMath>
      <w:r>
        <w:rPr>
          <w:rFonts w:ascii="Cambria Math" w:hAnsi="Cambria Math" w:hint="eastAsia"/>
          <w:i/>
          <w:kern w:val="2"/>
          <w:szCs w:val="21"/>
        </w:rPr>
        <w:t>——</w:t>
      </w:r>
      <w:r>
        <w:rPr>
          <w:rFonts w:ascii="Cambria Math" w:hAnsi="Cambria Math" w:hint="eastAsia"/>
          <w:iCs/>
          <w:kern w:val="2"/>
          <w:szCs w:val="21"/>
        </w:rPr>
        <w:t>核算和报告期内输出的热量，单位为吉焦（</w:t>
      </w:r>
      <w:r>
        <w:rPr>
          <w:rFonts w:ascii="Cambria Math" w:hAnsi="Cambria Math"/>
          <w:iCs/>
          <w:kern w:val="2"/>
          <w:szCs w:val="21"/>
        </w:rPr>
        <w:t>GJ</w:t>
      </w:r>
      <w:r>
        <w:rPr>
          <w:rFonts w:ascii="Cambria Math" w:hAnsi="Cambria Math" w:hint="eastAsia"/>
          <w:iCs/>
          <w:kern w:val="2"/>
          <w:szCs w:val="21"/>
        </w:rPr>
        <w:t>）；</w:t>
      </w:r>
    </w:p>
    <w:p w14:paraId="6872F386" w14:textId="77777777" w:rsidR="00784CB6" w:rsidRDefault="00000000">
      <w:pPr>
        <w:pStyle w:val="afff4"/>
        <w:spacing w:line="480" w:lineRule="exact"/>
        <w:ind w:firstLine="420"/>
        <w:rPr>
          <w:rFonts w:ascii="Cambria Math" w:hAnsi="Cambria Math"/>
          <w:iCs/>
          <w:kern w:val="2"/>
          <w:szCs w:val="21"/>
        </w:rPr>
      </w:pPr>
      <m:oMath>
        <m:sSub>
          <m:sSubPr>
            <m:ctrlPr>
              <w:rPr>
                <w:rFonts w:ascii="Cambria Math" w:hAnsi="Cambria Math"/>
                <w:i/>
              </w:rPr>
            </m:ctrlPr>
          </m:sSubPr>
          <m:e>
            <m:r>
              <w:rPr>
                <w:rFonts w:ascii="Cambria Math" w:hAnsi="Cambria Math"/>
              </w:rPr>
              <m:t>EF</m:t>
            </m:r>
          </m:e>
          <m:sub>
            <m:r>
              <m:rPr>
                <m:sty m:val="p"/>
              </m:rPr>
              <w:rPr>
                <w:rFonts w:ascii="Cambria Math" w:hAnsi="Cambria Math" w:hint="eastAsia"/>
              </w:rPr>
              <m:t>热</m:t>
            </m:r>
          </m:sub>
        </m:sSub>
      </m:oMath>
      <w:r>
        <w:rPr>
          <w:rFonts w:ascii="Cambria Math" w:hAnsi="Cambria Math" w:hint="eastAsia"/>
          <w:i/>
        </w:rPr>
        <w:t xml:space="preserve"> </w:t>
      </w:r>
      <w:r>
        <w:rPr>
          <w:rFonts w:ascii="Cambria Math" w:hAnsi="Cambria Math"/>
          <w:i/>
        </w:rPr>
        <w:t xml:space="preserve">  </w:t>
      </w:r>
      <w:r>
        <w:rPr>
          <w:rFonts w:ascii="Cambria Math" w:hAnsi="Cambria Math" w:hint="eastAsia"/>
          <w:i/>
          <w:kern w:val="2"/>
          <w:szCs w:val="21"/>
        </w:rPr>
        <w:t>——</w:t>
      </w:r>
      <w:r>
        <w:rPr>
          <w:rFonts w:ascii="Cambria Math" w:hAnsi="Cambria Math" w:hint="eastAsia"/>
          <w:iCs/>
          <w:kern w:val="2"/>
          <w:szCs w:val="21"/>
        </w:rPr>
        <w:t>热力的碳排放因子，单位为吨二氧化碳每吉焦（</w:t>
      </w:r>
      <w:r>
        <w:rPr>
          <w:rFonts w:ascii="Cambria Math" w:hAnsi="Cambria Math" w:hint="eastAsia"/>
          <w:iCs/>
          <w:kern w:val="2"/>
          <w:szCs w:val="21"/>
        </w:rPr>
        <w:t>tCO</w:t>
      </w:r>
      <w:r>
        <w:rPr>
          <w:rFonts w:ascii="Cambria Math" w:hAnsi="Cambria Math" w:hint="eastAsia"/>
          <w:iCs/>
          <w:kern w:val="2"/>
          <w:szCs w:val="21"/>
          <w:vertAlign w:val="subscript"/>
        </w:rPr>
        <w:t>2</w:t>
      </w:r>
      <w:r>
        <w:rPr>
          <w:rFonts w:ascii="Cambria Math" w:hAnsi="Cambria Math" w:hint="eastAsia"/>
          <w:iCs/>
          <w:kern w:val="2"/>
          <w:szCs w:val="21"/>
        </w:rPr>
        <w:t xml:space="preserve">/ </w:t>
      </w:r>
      <w:r>
        <w:rPr>
          <w:rFonts w:ascii="Cambria Math" w:hAnsi="Cambria Math"/>
          <w:iCs/>
          <w:kern w:val="2"/>
          <w:szCs w:val="21"/>
        </w:rPr>
        <w:t>GJ</w:t>
      </w:r>
      <w:r>
        <w:rPr>
          <w:rFonts w:ascii="Cambria Math" w:hAnsi="Cambria Math" w:hint="eastAsia"/>
          <w:iCs/>
          <w:kern w:val="2"/>
          <w:szCs w:val="21"/>
        </w:rPr>
        <w:t>）。</w:t>
      </w:r>
    </w:p>
    <w:p w14:paraId="1CF54E06" w14:textId="77777777" w:rsidR="00784CB6" w:rsidRDefault="00000000">
      <w:pPr>
        <w:spacing w:beforeLines="100" w:before="24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7</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数据质量管理</w:t>
      </w:r>
    </w:p>
    <w:p w14:paraId="09BEF6B4"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为确保统计数据的准确性，企业宜通过采取建立相关碳工作规章制度、能源消耗台账、制定碳排放源等级要求、提高自身监测能力等措施加强碳数据质量管理工作。</w:t>
      </w:r>
    </w:p>
    <w:p w14:paraId="7E0B058B" w14:textId="77777777" w:rsidR="00784CB6" w:rsidRDefault="00000000">
      <w:pPr>
        <w:spacing w:beforeLines="100" w:before="24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8.</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报告内容和格式</w:t>
      </w:r>
    </w:p>
    <w:p w14:paraId="07E0A182"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企业可参照附录A的格式进行报告。</w:t>
      </w:r>
    </w:p>
    <w:p w14:paraId="4FA09D04" w14:textId="77777777" w:rsidR="00784CB6" w:rsidRDefault="00000000">
      <w:pPr>
        <w:spacing w:beforeLines="100" w:before="240"/>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9</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附录</w:t>
      </w:r>
    </w:p>
    <w:p w14:paraId="5FB48369"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附录A提供报告模板，附录B提供各种燃料相关参数缺省值，附录C提供数据质量控制计划模板。</w:t>
      </w:r>
    </w:p>
    <w:p w14:paraId="2B222EA2" w14:textId="77777777" w:rsidR="00784CB6" w:rsidRDefault="00000000">
      <w:pPr>
        <w:pStyle w:val="1"/>
        <w:numPr>
          <w:ilvl w:val="0"/>
          <w:numId w:val="11"/>
        </w:numPr>
        <w:spacing w:beforeLines="50" w:before="120" w:afterLines="50" w:after="120" w:line="500" w:lineRule="exact"/>
        <w:rPr>
          <w:sz w:val="30"/>
          <w:szCs w:val="30"/>
        </w:rPr>
      </w:pPr>
      <w:r>
        <w:rPr>
          <w:rFonts w:hint="eastAsia"/>
          <w:sz w:val="30"/>
          <w:szCs w:val="30"/>
        </w:rPr>
        <w:lastRenderedPageBreak/>
        <w:t>验证情况分析、预期达到的经济效果</w:t>
      </w:r>
    </w:p>
    <w:p w14:paraId="5963CE5F" w14:textId="77777777" w:rsidR="00784CB6" w:rsidRDefault="00000000">
      <w:pPr>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1</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验证情况</w:t>
      </w:r>
    </w:p>
    <w:p w14:paraId="64F10453"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为验证标准计算方法、排放数据及排放因子取值的合理性、准确性，编制组对</w:t>
      </w:r>
      <w:r>
        <w:rPr>
          <w:rFonts w:ascii="宋体" w:eastAsia="宋体" w:hAnsi="宋体"/>
          <w:sz w:val="24"/>
          <w:szCs w:val="24"/>
        </w:rPr>
        <w:t>15</w:t>
      </w:r>
      <w:r>
        <w:rPr>
          <w:rFonts w:ascii="宋体" w:eastAsia="宋体" w:hAnsi="宋体" w:hint="eastAsia"/>
          <w:sz w:val="24"/>
          <w:szCs w:val="24"/>
        </w:rPr>
        <w:t>家企业进行了标准调研验证工作。烧结制品行业已发布国家标准G</w:t>
      </w:r>
      <w:r>
        <w:rPr>
          <w:rFonts w:ascii="宋体" w:eastAsia="宋体" w:hAnsi="宋体"/>
          <w:sz w:val="24"/>
          <w:szCs w:val="24"/>
        </w:rPr>
        <w:t>B 30526</w:t>
      </w:r>
      <w:r>
        <w:rPr>
          <w:rFonts w:ascii="宋体" w:eastAsia="宋体" w:hAnsi="宋体" w:hint="eastAsia"/>
          <w:sz w:val="24"/>
          <w:szCs w:val="24"/>
        </w:rPr>
        <w:t>《烧结墙体材料和泡沫玻璃单位产品能源消耗限额》，通过将核算结果与企业能源消耗数据进行对比，数据水平基本合理。</w:t>
      </w:r>
    </w:p>
    <w:p w14:paraId="0D3FE0FC"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在本轮标准验证中，仅在原料中未含碳酸盐成分或含量极少（以粉煤灰、炉渣、建筑渣土等为主要原料）的企业中开展，原因是在已发布的水泥、陶瓷行业温室气体排放核算标准中，是通过检测原料中</w:t>
      </w:r>
      <w:proofErr w:type="spellStart"/>
      <w:r>
        <w:rPr>
          <w:rFonts w:ascii="宋体" w:eastAsia="宋体" w:hAnsi="宋体" w:hint="eastAsia"/>
          <w:sz w:val="24"/>
          <w:szCs w:val="24"/>
        </w:rPr>
        <w:t>C</w:t>
      </w:r>
      <w:r>
        <w:rPr>
          <w:rFonts w:ascii="宋体" w:eastAsia="宋体" w:hAnsi="宋体"/>
          <w:sz w:val="24"/>
          <w:szCs w:val="24"/>
        </w:rPr>
        <w:t>aO</w:t>
      </w:r>
      <w:proofErr w:type="spellEnd"/>
      <w:r>
        <w:rPr>
          <w:rFonts w:ascii="宋体" w:eastAsia="宋体" w:hAnsi="宋体"/>
          <w:sz w:val="24"/>
          <w:szCs w:val="24"/>
        </w:rPr>
        <w:t>、</w:t>
      </w:r>
      <w:r>
        <w:rPr>
          <w:rFonts w:ascii="宋体" w:eastAsia="宋体" w:hAnsi="宋体" w:hint="eastAsia"/>
          <w:sz w:val="24"/>
          <w:szCs w:val="24"/>
        </w:rPr>
        <w:t>MgO含量，然后核减非碳酸盐产生的</w:t>
      </w:r>
      <w:proofErr w:type="spellStart"/>
      <w:r>
        <w:rPr>
          <w:rFonts w:ascii="宋体" w:eastAsia="宋体" w:hAnsi="宋体" w:hint="eastAsia"/>
          <w:sz w:val="24"/>
          <w:szCs w:val="24"/>
        </w:rPr>
        <w:t>C</w:t>
      </w:r>
      <w:r>
        <w:rPr>
          <w:rFonts w:ascii="宋体" w:eastAsia="宋体" w:hAnsi="宋体"/>
          <w:sz w:val="24"/>
          <w:szCs w:val="24"/>
        </w:rPr>
        <w:t>aO</w:t>
      </w:r>
      <w:proofErr w:type="spellEnd"/>
      <w:r>
        <w:rPr>
          <w:rFonts w:ascii="宋体" w:eastAsia="宋体" w:hAnsi="宋体"/>
          <w:sz w:val="24"/>
          <w:szCs w:val="24"/>
        </w:rPr>
        <w:t>、</w:t>
      </w:r>
      <w:r>
        <w:rPr>
          <w:rFonts w:ascii="宋体" w:eastAsia="宋体" w:hAnsi="宋体" w:hint="eastAsia"/>
          <w:sz w:val="24"/>
          <w:szCs w:val="24"/>
        </w:rPr>
        <w:t>MgO含量,最后再反算原料中碳酸盐含量，这种方法在实际应用过程中有一定难度。目前标准工作组以</w:t>
      </w:r>
      <w:r>
        <w:rPr>
          <w:rFonts w:ascii="宋体" w:eastAsia="宋体" w:hAnsi="宋体"/>
          <w:sz w:val="24"/>
          <w:szCs w:val="24"/>
        </w:rPr>
        <w:t>GB/T 2762</w:t>
      </w:r>
      <w:r>
        <w:rPr>
          <w:rFonts w:ascii="宋体" w:eastAsia="宋体" w:hAnsi="宋体" w:hint="eastAsia"/>
          <w:sz w:val="24"/>
          <w:szCs w:val="24"/>
        </w:rPr>
        <w:t>、</w:t>
      </w:r>
      <w:r>
        <w:rPr>
          <w:rFonts w:ascii="宋体" w:eastAsia="宋体" w:hAnsi="宋体"/>
          <w:sz w:val="24"/>
          <w:szCs w:val="24"/>
        </w:rPr>
        <w:t>JC</w:t>
      </w:r>
      <w:r>
        <w:rPr>
          <w:rFonts w:ascii="宋体" w:eastAsia="宋体" w:hAnsi="宋体" w:hint="eastAsia"/>
          <w:sz w:val="24"/>
          <w:szCs w:val="24"/>
        </w:rPr>
        <w:t xml:space="preserve">/T </w:t>
      </w:r>
      <w:r>
        <w:rPr>
          <w:rFonts w:ascii="宋体" w:eastAsia="宋体" w:hAnsi="宋体"/>
          <w:sz w:val="24"/>
          <w:szCs w:val="24"/>
        </w:rPr>
        <w:t>1021.3</w:t>
      </w:r>
      <w:r>
        <w:rPr>
          <w:rFonts w:ascii="宋体" w:eastAsia="宋体" w:hAnsi="宋体" w:hint="eastAsia"/>
          <w:sz w:val="24"/>
          <w:szCs w:val="24"/>
        </w:rPr>
        <w:t>、《土壤分析技术规范（第二版）》等标准规范为依据，可以直接检测原料中碳酸根、碳酸氢根的含量，目前已送检1</w:t>
      </w:r>
      <w:r>
        <w:rPr>
          <w:rFonts w:ascii="宋体" w:eastAsia="宋体" w:hAnsi="宋体"/>
          <w:sz w:val="24"/>
          <w:szCs w:val="24"/>
        </w:rPr>
        <w:t>6</w:t>
      </w:r>
      <w:r>
        <w:rPr>
          <w:rFonts w:ascii="宋体" w:eastAsia="宋体" w:hAnsi="宋体" w:hint="eastAsia"/>
          <w:sz w:val="24"/>
          <w:szCs w:val="24"/>
        </w:rPr>
        <w:t>组典型样品，如页岩、煤矸石等，还将陆续采集样品开展检测工作，验证该方法的可行性。</w:t>
      </w:r>
    </w:p>
    <w:p w14:paraId="66A6EE8C" w14:textId="77777777" w:rsidR="00784CB6" w:rsidRDefault="00000000">
      <w:pPr>
        <w:spacing w:beforeLines="100" w:before="240" w:line="360" w:lineRule="auto"/>
        <w:jc w:val="center"/>
        <w:rPr>
          <w:szCs w:val="21"/>
        </w:rPr>
      </w:pPr>
      <w:bookmarkStart w:id="25" w:name="_Hlk117861558"/>
      <w:r>
        <w:rPr>
          <w:szCs w:val="21"/>
        </w:rPr>
        <w:t>表2</w:t>
      </w:r>
      <w:r>
        <w:rPr>
          <w:rFonts w:hint="eastAsia"/>
          <w:szCs w:val="21"/>
        </w:rPr>
        <w:t xml:space="preserve"> </w:t>
      </w:r>
      <w:r>
        <w:rPr>
          <w:szCs w:val="21"/>
        </w:rPr>
        <w:t xml:space="preserve"> </w:t>
      </w:r>
      <w:r>
        <w:rPr>
          <w:bCs/>
          <w:szCs w:val="21"/>
        </w:rPr>
        <w:t>烧结</w:t>
      </w:r>
      <w:r>
        <w:rPr>
          <w:rFonts w:hint="eastAsia"/>
          <w:bCs/>
          <w:szCs w:val="21"/>
        </w:rPr>
        <w:t>制品</w:t>
      </w:r>
      <w:r>
        <w:rPr>
          <w:szCs w:val="21"/>
        </w:rPr>
        <w:t>温室气体排放数据</w:t>
      </w:r>
      <w:r>
        <w:rPr>
          <w:rFonts w:hint="eastAsia"/>
          <w:szCs w:val="21"/>
        </w:rPr>
        <w:t>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1569"/>
        <w:gridCol w:w="983"/>
        <w:gridCol w:w="1100"/>
        <w:gridCol w:w="983"/>
        <w:gridCol w:w="1116"/>
        <w:gridCol w:w="1241"/>
        <w:gridCol w:w="1165"/>
      </w:tblGrid>
      <w:tr w:rsidR="00784CB6" w14:paraId="5FB75A39" w14:textId="77777777">
        <w:trPr>
          <w:trHeight w:val="720"/>
          <w:jc w:val="center"/>
        </w:trPr>
        <w:tc>
          <w:tcPr>
            <w:tcW w:w="470" w:type="pct"/>
            <w:shd w:val="clear" w:color="auto" w:fill="auto"/>
            <w:vAlign w:val="center"/>
          </w:tcPr>
          <w:bookmarkEnd w:id="25"/>
          <w:p w14:paraId="2D1A6A3F" w14:textId="77777777" w:rsidR="00784CB6" w:rsidRDefault="00000000">
            <w:pPr>
              <w:widowControl/>
              <w:jc w:val="center"/>
              <w:rPr>
                <w:color w:val="000000"/>
                <w:kern w:val="0"/>
                <w:szCs w:val="21"/>
              </w:rPr>
            </w:pPr>
            <w:r>
              <w:rPr>
                <w:rFonts w:hint="eastAsia"/>
                <w:color w:val="000000"/>
                <w:kern w:val="0"/>
                <w:szCs w:val="21"/>
              </w:rPr>
              <w:t>序号</w:t>
            </w:r>
          </w:p>
        </w:tc>
        <w:tc>
          <w:tcPr>
            <w:tcW w:w="871" w:type="pct"/>
            <w:vAlign w:val="center"/>
          </w:tcPr>
          <w:p w14:paraId="696AB040" w14:textId="77777777" w:rsidR="00784CB6" w:rsidRDefault="00000000">
            <w:pPr>
              <w:widowControl/>
              <w:jc w:val="center"/>
              <w:rPr>
                <w:color w:val="000000"/>
                <w:kern w:val="0"/>
                <w:szCs w:val="21"/>
              </w:rPr>
            </w:pPr>
            <w:r>
              <w:rPr>
                <w:rFonts w:hint="eastAsia"/>
                <w:color w:val="000000"/>
                <w:kern w:val="0"/>
                <w:szCs w:val="21"/>
              </w:rPr>
              <w:t>电力消耗量(kW·h</w:t>
            </w:r>
          </w:p>
        </w:tc>
        <w:tc>
          <w:tcPr>
            <w:tcW w:w="546" w:type="pct"/>
            <w:vAlign w:val="center"/>
          </w:tcPr>
          <w:p w14:paraId="3CF87E63" w14:textId="77777777" w:rsidR="00784CB6" w:rsidRDefault="00000000">
            <w:pPr>
              <w:widowControl/>
              <w:jc w:val="center"/>
              <w:rPr>
                <w:color w:val="000000"/>
                <w:kern w:val="0"/>
                <w:szCs w:val="21"/>
              </w:rPr>
            </w:pPr>
            <w:r>
              <w:rPr>
                <w:rFonts w:hint="eastAsia"/>
                <w:color w:val="000000"/>
                <w:kern w:val="0"/>
                <w:szCs w:val="21"/>
              </w:rPr>
              <w:t>消耗电力对应排放量</w:t>
            </w:r>
          </w:p>
        </w:tc>
        <w:tc>
          <w:tcPr>
            <w:tcW w:w="611" w:type="pct"/>
            <w:shd w:val="clear" w:color="auto" w:fill="auto"/>
            <w:vAlign w:val="center"/>
          </w:tcPr>
          <w:p w14:paraId="24156E77" w14:textId="77777777" w:rsidR="00784CB6" w:rsidRDefault="00000000">
            <w:pPr>
              <w:widowControl/>
              <w:jc w:val="center"/>
              <w:rPr>
                <w:color w:val="000000"/>
                <w:kern w:val="0"/>
                <w:szCs w:val="21"/>
              </w:rPr>
            </w:pPr>
            <w:r>
              <w:rPr>
                <w:rFonts w:hint="eastAsia"/>
                <w:color w:val="000000"/>
                <w:kern w:val="0"/>
                <w:szCs w:val="21"/>
              </w:rPr>
              <w:t>化石燃料燃烧排放量</w:t>
            </w:r>
          </w:p>
        </w:tc>
        <w:tc>
          <w:tcPr>
            <w:tcW w:w="546" w:type="pct"/>
            <w:vAlign w:val="center"/>
          </w:tcPr>
          <w:p w14:paraId="653B7E2E" w14:textId="77777777" w:rsidR="00784CB6" w:rsidRDefault="00000000">
            <w:pPr>
              <w:widowControl/>
              <w:jc w:val="center"/>
              <w:rPr>
                <w:color w:val="000000"/>
                <w:kern w:val="0"/>
                <w:szCs w:val="21"/>
                <w:highlight w:val="yellow"/>
              </w:rPr>
            </w:pPr>
            <w:r>
              <w:rPr>
                <w:rFonts w:hint="eastAsia"/>
                <w:color w:val="000000"/>
                <w:kern w:val="0"/>
                <w:szCs w:val="21"/>
              </w:rPr>
              <w:t>原料分解排放量</w:t>
            </w:r>
          </w:p>
        </w:tc>
        <w:tc>
          <w:tcPr>
            <w:tcW w:w="620" w:type="pct"/>
            <w:shd w:val="clear" w:color="auto" w:fill="auto"/>
            <w:vAlign w:val="center"/>
          </w:tcPr>
          <w:p w14:paraId="36649855" w14:textId="77777777" w:rsidR="00784CB6" w:rsidRDefault="00000000">
            <w:pPr>
              <w:widowControl/>
              <w:jc w:val="center"/>
              <w:rPr>
                <w:color w:val="000000"/>
                <w:kern w:val="0"/>
                <w:szCs w:val="21"/>
              </w:rPr>
            </w:pPr>
            <w:r>
              <w:rPr>
                <w:rFonts w:hint="eastAsia"/>
                <w:color w:val="000000"/>
                <w:kern w:val="0"/>
                <w:szCs w:val="21"/>
              </w:rPr>
              <w:t>温室气体排放量（tCO</w:t>
            </w:r>
            <w:r>
              <w:rPr>
                <w:rFonts w:hint="eastAsia"/>
                <w:color w:val="000000"/>
                <w:kern w:val="0"/>
                <w:szCs w:val="21"/>
                <w:vertAlign w:val="subscript"/>
              </w:rPr>
              <w:t>2</w:t>
            </w:r>
            <w:r>
              <w:rPr>
                <w:rFonts w:hint="eastAsia"/>
                <w:color w:val="000000"/>
                <w:kern w:val="0"/>
                <w:szCs w:val="21"/>
              </w:rPr>
              <w:t>）</w:t>
            </w:r>
          </w:p>
        </w:tc>
        <w:tc>
          <w:tcPr>
            <w:tcW w:w="689" w:type="pct"/>
            <w:shd w:val="clear" w:color="auto" w:fill="auto"/>
            <w:vAlign w:val="center"/>
          </w:tcPr>
          <w:p w14:paraId="4C34C4C1" w14:textId="77777777" w:rsidR="00784CB6" w:rsidRDefault="00000000">
            <w:pPr>
              <w:widowControl/>
              <w:jc w:val="center"/>
              <w:rPr>
                <w:color w:val="000000"/>
                <w:kern w:val="0"/>
                <w:szCs w:val="21"/>
              </w:rPr>
            </w:pPr>
            <w:r>
              <w:rPr>
                <w:rFonts w:hint="eastAsia"/>
                <w:color w:val="000000"/>
                <w:kern w:val="0"/>
                <w:szCs w:val="21"/>
              </w:rPr>
              <w:t>产量（t）</w:t>
            </w:r>
          </w:p>
        </w:tc>
        <w:tc>
          <w:tcPr>
            <w:tcW w:w="647" w:type="pct"/>
            <w:shd w:val="clear" w:color="auto" w:fill="auto"/>
            <w:vAlign w:val="center"/>
          </w:tcPr>
          <w:p w14:paraId="1F6CEBB8" w14:textId="77777777" w:rsidR="00784CB6" w:rsidRDefault="00000000">
            <w:pPr>
              <w:widowControl/>
              <w:jc w:val="center"/>
              <w:rPr>
                <w:color w:val="000000"/>
                <w:kern w:val="0"/>
                <w:szCs w:val="21"/>
              </w:rPr>
            </w:pPr>
            <w:r>
              <w:rPr>
                <w:rFonts w:hint="eastAsia"/>
                <w:color w:val="000000"/>
                <w:kern w:val="0"/>
                <w:szCs w:val="21"/>
              </w:rPr>
              <w:t>单位产品温室气体排放量</w:t>
            </w:r>
          </w:p>
          <w:p w14:paraId="309BAFE3" w14:textId="77777777" w:rsidR="00784CB6" w:rsidRDefault="00000000">
            <w:pPr>
              <w:widowControl/>
              <w:jc w:val="center"/>
              <w:rPr>
                <w:color w:val="000000"/>
                <w:kern w:val="0"/>
                <w:szCs w:val="21"/>
              </w:rPr>
            </w:pPr>
            <w:r>
              <w:rPr>
                <w:rFonts w:hint="eastAsia"/>
                <w:color w:val="000000"/>
                <w:kern w:val="0"/>
                <w:szCs w:val="21"/>
              </w:rPr>
              <w:t>kgCO</w:t>
            </w:r>
            <w:r>
              <w:rPr>
                <w:rFonts w:hint="eastAsia"/>
                <w:color w:val="000000"/>
                <w:kern w:val="0"/>
                <w:szCs w:val="21"/>
                <w:vertAlign w:val="subscript"/>
              </w:rPr>
              <w:t>2</w:t>
            </w:r>
            <w:r>
              <w:rPr>
                <w:rFonts w:hint="eastAsia"/>
                <w:color w:val="000000"/>
                <w:kern w:val="0"/>
                <w:szCs w:val="21"/>
              </w:rPr>
              <w:t>/t</w:t>
            </w:r>
          </w:p>
        </w:tc>
      </w:tr>
      <w:tr w:rsidR="00784CB6" w14:paraId="685F00D6" w14:textId="77777777">
        <w:trPr>
          <w:trHeight w:val="567"/>
          <w:jc w:val="center"/>
        </w:trPr>
        <w:tc>
          <w:tcPr>
            <w:tcW w:w="470" w:type="pct"/>
            <w:shd w:val="clear" w:color="auto" w:fill="auto"/>
            <w:vAlign w:val="center"/>
          </w:tcPr>
          <w:p w14:paraId="180D36D8" w14:textId="77777777" w:rsidR="00784CB6" w:rsidRDefault="00784CB6">
            <w:pPr>
              <w:pStyle w:val="affb"/>
              <w:widowControl/>
              <w:numPr>
                <w:ilvl w:val="0"/>
                <w:numId w:val="12"/>
              </w:numPr>
              <w:ind w:firstLineChars="0"/>
              <w:jc w:val="center"/>
              <w:rPr>
                <w:color w:val="000000"/>
                <w:szCs w:val="21"/>
              </w:rPr>
            </w:pPr>
            <w:bookmarkStart w:id="26" w:name="OLE_LINK3" w:colFirst="3" w:colLast="3"/>
          </w:p>
        </w:tc>
        <w:tc>
          <w:tcPr>
            <w:tcW w:w="871" w:type="pct"/>
            <w:vAlign w:val="center"/>
          </w:tcPr>
          <w:p w14:paraId="4DFDB2CB" w14:textId="77777777" w:rsidR="00784CB6" w:rsidRDefault="00000000">
            <w:pPr>
              <w:widowControl/>
              <w:jc w:val="center"/>
              <w:rPr>
                <w:sz w:val="22"/>
              </w:rPr>
            </w:pPr>
            <w:r>
              <w:rPr>
                <w:rFonts w:hint="eastAsia"/>
                <w:sz w:val="22"/>
              </w:rPr>
              <w:t xml:space="preserve">3879520.00 </w:t>
            </w:r>
          </w:p>
        </w:tc>
        <w:tc>
          <w:tcPr>
            <w:tcW w:w="546" w:type="pct"/>
            <w:vAlign w:val="center"/>
          </w:tcPr>
          <w:p w14:paraId="18C0E3AD" w14:textId="77777777" w:rsidR="00784CB6" w:rsidRDefault="00000000">
            <w:pPr>
              <w:widowControl/>
              <w:jc w:val="center"/>
              <w:rPr>
                <w:sz w:val="22"/>
              </w:rPr>
            </w:pPr>
            <w:r>
              <w:rPr>
                <w:rFonts w:hint="eastAsia"/>
                <w:sz w:val="22"/>
              </w:rPr>
              <w:t xml:space="preserve">2254.00 </w:t>
            </w:r>
          </w:p>
        </w:tc>
        <w:tc>
          <w:tcPr>
            <w:tcW w:w="611" w:type="pct"/>
            <w:shd w:val="clear" w:color="auto" w:fill="auto"/>
            <w:vAlign w:val="center"/>
          </w:tcPr>
          <w:p w14:paraId="3AEB13BA" w14:textId="77777777" w:rsidR="00784CB6" w:rsidRDefault="00000000">
            <w:pPr>
              <w:widowControl/>
              <w:jc w:val="center"/>
              <w:rPr>
                <w:sz w:val="22"/>
              </w:rPr>
            </w:pPr>
            <w:r>
              <w:rPr>
                <w:rFonts w:hint="eastAsia"/>
                <w:sz w:val="22"/>
              </w:rPr>
              <w:t xml:space="preserve">10436.27 </w:t>
            </w:r>
          </w:p>
        </w:tc>
        <w:tc>
          <w:tcPr>
            <w:tcW w:w="546" w:type="pct"/>
            <w:vAlign w:val="center"/>
          </w:tcPr>
          <w:p w14:paraId="6760A308"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015B494B" w14:textId="77777777" w:rsidR="00784CB6" w:rsidRDefault="00000000">
            <w:pPr>
              <w:widowControl/>
              <w:jc w:val="center"/>
              <w:rPr>
                <w:sz w:val="22"/>
              </w:rPr>
            </w:pPr>
            <w:r>
              <w:rPr>
                <w:rFonts w:hint="eastAsia"/>
                <w:sz w:val="22"/>
              </w:rPr>
              <w:t xml:space="preserve">12690.27 </w:t>
            </w:r>
          </w:p>
        </w:tc>
        <w:tc>
          <w:tcPr>
            <w:tcW w:w="689" w:type="pct"/>
            <w:shd w:val="clear" w:color="auto" w:fill="auto"/>
            <w:noWrap/>
            <w:vAlign w:val="center"/>
          </w:tcPr>
          <w:p w14:paraId="26177E7E" w14:textId="77777777" w:rsidR="00784CB6" w:rsidRDefault="00000000">
            <w:pPr>
              <w:widowControl/>
              <w:jc w:val="center"/>
              <w:rPr>
                <w:sz w:val="22"/>
              </w:rPr>
            </w:pPr>
            <w:r>
              <w:rPr>
                <w:rFonts w:hint="eastAsia"/>
                <w:sz w:val="22"/>
              </w:rPr>
              <w:t xml:space="preserve">115918.30 </w:t>
            </w:r>
          </w:p>
        </w:tc>
        <w:tc>
          <w:tcPr>
            <w:tcW w:w="647" w:type="pct"/>
            <w:shd w:val="clear" w:color="auto" w:fill="auto"/>
            <w:noWrap/>
            <w:vAlign w:val="center"/>
          </w:tcPr>
          <w:p w14:paraId="6E5C5CBF" w14:textId="77777777" w:rsidR="00784CB6" w:rsidRDefault="00000000">
            <w:pPr>
              <w:widowControl/>
              <w:jc w:val="center"/>
              <w:rPr>
                <w:sz w:val="22"/>
              </w:rPr>
            </w:pPr>
            <w:r>
              <w:rPr>
                <w:rFonts w:hint="eastAsia"/>
                <w:sz w:val="22"/>
              </w:rPr>
              <w:t xml:space="preserve">109.48 </w:t>
            </w:r>
          </w:p>
        </w:tc>
      </w:tr>
      <w:tr w:rsidR="00784CB6" w14:paraId="159EFA16" w14:textId="77777777">
        <w:trPr>
          <w:trHeight w:val="567"/>
          <w:jc w:val="center"/>
        </w:trPr>
        <w:tc>
          <w:tcPr>
            <w:tcW w:w="470" w:type="pct"/>
            <w:shd w:val="clear" w:color="auto" w:fill="auto"/>
            <w:vAlign w:val="center"/>
          </w:tcPr>
          <w:p w14:paraId="1FAFF420" w14:textId="77777777" w:rsidR="00784CB6" w:rsidRDefault="00784CB6">
            <w:pPr>
              <w:pStyle w:val="affb"/>
              <w:widowControl/>
              <w:numPr>
                <w:ilvl w:val="0"/>
                <w:numId w:val="12"/>
              </w:numPr>
              <w:ind w:firstLineChars="0"/>
              <w:jc w:val="center"/>
              <w:rPr>
                <w:color w:val="000000"/>
                <w:szCs w:val="21"/>
              </w:rPr>
            </w:pPr>
          </w:p>
        </w:tc>
        <w:tc>
          <w:tcPr>
            <w:tcW w:w="871" w:type="pct"/>
            <w:vAlign w:val="center"/>
          </w:tcPr>
          <w:p w14:paraId="3C35360F" w14:textId="77777777" w:rsidR="00784CB6" w:rsidRDefault="00000000">
            <w:pPr>
              <w:widowControl/>
              <w:jc w:val="center"/>
              <w:rPr>
                <w:sz w:val="22"/>
              </w:rPr>
            </w:pPr>
            <w:r>
              <w:rPr>
                <w:rFonts w:hint="eastAsia"/>
                <w:sz w:val="22"/>
              </w:rPr>
              <w:t xml:space="preserve">3986295.00 </w:t>
            </w:r>
          </w:p>
        </w:tc>
        <w:tc>
          <w:tcPr>
            <w:tcW w:w="546" w:type="pct"/>
            <w:vAlign w:val="center"/>
          </w:tcPr>
          <w:p w14:paraId="6067AD65" w14:textId="77777777" w:rsidR="00784CB6" w:rsidRDefault="00000000">
            <w:pPr>
              <w:widowControl/>
              <w:jc w:val="center"/>
              <w:rPr>
                <w:sz w:val="22"/>
              </w:rPr>
            </w:pPr>
            <w:r>
              <w:rPr>
                <w:rFonts w:hint="eastAsia"/>
                <w:sz w:val="22"/>
              </w:rPr>
              <w:t xml:space="preserve">2316.04 </w:t>
            </w:r>
          </w:p>
        </w:tc>
        <w:tc>
          <w:tcPr>
            <w:tcW w:w="611" w:type="pct"/>
            <w:shd w:val="clear" w:color="auto" w:fill="auto"/>
            <w:vAlign w:val="center"/>
          </w:tcPr>
          <w:p w14:paraId="0473F4A1" w14:textId="77777777" w:rsidR="00784CB6" w:rsidRDefault="00000000">
            <w:pPr>
              <w:widowControl/>
              <w:jc w:val="center"/>
              <w:rPr>
                <w:sz w:val="22"/>
              </w:rPr>
            </w:pPr>
            <w:r>
              <w:rPr>
                <w:rFonts w:hint="eastAsia"/>
                <w:sz w:val="22"/>
              </w:rPr>
              <w:t xml:space="preserve">8469.53 </w:t>
            </w:r>
          </w:p>
        </w:tc>
        <w:tc>
          <w:tcPr>
            <w:tcW w:w="546" w:type="pct"/>
            <w:vAlign w:val="center"/>
          </w:tcPr>
          <w:p w14:paraId="6F7C7E68"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160A4548" w14:textId="77777777" w:rsidR="00784CB6" w:rsidRDefault="00000000">
            <w:pPr>
              <w:widowControl/>
              <w:jc w:val="center"/>
              <w:rPr>
                <w:sz w:val="22"/>
              </w:rPr>
            </w:pPr>
            <w:r>
              <w:rPr>
                <w:rFonts w:hint="eastAsia"/>
                <w:sz w:val="22"/>
              </w:rPr>
              <w:t xml:space="preserve">10785.57 </w:t>
            </w:r>
          </w:p>
        </w:tc>
        <w:tc>
          <w:tcPr>
            <w:tcW w:w="689" w:type="pct"/>
            <w:shd w:val="clear" w:color="auto" w:fill="auto"/>
            <w:noWrap/>
            <w:vAlign w:val="center"/>
          </w:tcPr>
          <w:p w14:paraId="2310AB68" w14:textId="77777777" w:rsidR="00784CB6" w:rsidRDefault="00000000">
            <w:pPr>
              <w:widowControl/>
              <w:jc w:val="center"/>
              <w:rPr>
                <w:sz w:val="22"/>
              </w:rPr>
            </w:pPr>
            <w:r>
              <w:rPr>
                <w:rFonts w:hint="eastAsia"/>
                <w:sz w:val="22"/>
              </w:rPr>
              <w:t xml:space="preserve">45225.10 </w:t>
            </w:r>
          </w:p>
        </w:tc>
        <w:tc>
          <w:tcPr>
            <w:tcW w:w="647" w:type="pct"/>
            <w:shd w:val="clear" w:color="auto" w:fill="auto"/>
            <w:noWrap/>
            <w:vAlign w:val="center"/>
          </w:tcPr>
          <w:p w14:paraId="518C7CDD" w14:textId="77777777" w:rsidR="00784CB6" w:rsidRDefault="00000000">
            <w:pPr>
              <w:widowControl/>
              <w:jc w:val="center"/>
              <w:rPr>
                <w:sz w:val="22"/>
              </w:rPr>
            </w:pPr>
            <w:r>
              <w:rPr>
                <w:rFonts w:hint="eastAsia"/>
                <w:sz w:val="22"/>
              </w:rPr>
              <w:t xml:space="preserve">238.49 </w:t>
            </w:r>
          </w:p>
        </w:tc>
      </w:tr>
      <w:tr w:rsidR="00784CB6" w14:paraId="47895098" w14:textId="77777777">
        <w:trPr>
          <w:trHeight w:val="567"/>
          <w:jc w:val="center"/>
        </w:trPr>
        <w:tc>
          <w:tcPr>
            <w:tcW w:w="470" w:type="pct"/>
            <w:shd w:val="clear" w:color="auto" w:fill="auto"/>
            <w:vAlign w:val="center"/>
          </w:tcPr>
          <w:p w14:paraId="0EECE2A1" w14:textId="77777777" w:rsidR="00784CB6" w:rsidRDefault="00784CB6">
            <w:pPr>
              <w:pStyle w:val="affb"/>
              <w:widowControl/>
              <w:numPr>
                <w:ilvl w:val="0"/>
                <w:numId w:val="12"/>
              </w:numPr>
              <w:ind w:firstLineChars="0"/>
              <w:jc w:val="center"/>
              <w:rPr>
                <w:color w:val="000000"/>
                <w:szCs w:val="21"/>
              </w:rPr>
            </w:pPr>
          </w:p>
        </w:tc>
        <w:tc>
          <w:tcPr>
            <w:tcW w:w="871" w:type="pct"/>
            <w:vAlign w:val="center"/>
          </w:tcPr>
          <w:p w14:paraId="30BEFCA7" w14:textId="77777777" w:rsidR="00784CB6" w:rsidRDefault="00000000">
            <w:pPr>
              <w:widowControl/>
              <w:jc w:val="center"/>
              <w:rPr>
                <w:sz w:val="22"/>
              </w:rPr>
            </w:pPr>
            <w:r>
              <w:rPr>
                <w:rFonts w:hint="eastAsia"/>
                <w:sz w:val="22"/>
              </w:rPr>
              <w:t xml:space="preserve">2604383.00 </w:t>
            </w:r>
          </w:p>
        </w:tc>
        <w:tc>
          <w:tcPr>
            <w:tcW w:w="546" w:type="pct"/>
            <w:vAlign w:val="center"/>
          </w:tcPr>
          <w:p w14:paraId="29EF550E" w14:textId="77777777" w:rsidR="00784CB6" w:rsidRDefault="00000000">
            <w:pPr>
              <w:widowControl/>
              <w:jc w:val="center"/>
              <w:rPr>
                <w:sz w:val="22"/>
              </w:rPr>
            </w:pPr>
            <w:r>
              <w:rPr>
                <w:rFonts w:hint="eastAsia"/>
                <w:sz w:val="22"/>
              </w:rPr>
              <w:t xml:space="preserve">1513.15 </w:t>
            </w:r>
          </w:p>
        </w:tc>
        <w:tc>
          <w:tcPr>
            <w:tcW w:w="611" w:type="pct"/>
            <w:shd w:val="clear" w:color="auto" w:fill="auto"/>
            <w:vAlign w:val="center"/>
          </w:tcPr>
          <w:p w14:paraId="5D9ED160" w14:textId="77777777" w:rsidR="00784CB6" w:rsidRDefault="00000000">
            <w:pPr>
              <w:widowControl/>
              <w:jc w:val="center"/>
              <w:rPr>
                <w:sz w:val="22"/>
              </w:rPr>
            </w:pPr>
            <w:r>
              <w:rPr>
                <w:rFonts w:hint="eastAsia"/>
                <w:sz w:val="22"/>
              </w:rPr>
              <w:t xml:space="preserve">7325.55 </w:t>
            </w:r>
          </w:p>
        </w:tc>
        <w:tc>
          <w:tcPr>
            <w:tcW w:w="546" w:type="pct"/>
            <w:vAlign w:val="center"/>
          </w:tcPr>
          <w:p w14:paraId="30D3412B"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3377DAAD" w14:textId="77777777" w:rsidR="00784CB6" w:rsidRDefault="00000000">
            <w:pPr>
              <w:widowControl/>
              <w:jc w:val="center"/>
              <w:rPr>
                <w:sz w:val="22"/>
              </w:rPr>
            </w:pPr>
            <w:r>
              <w:rPr>
                <w:rFonts w:hint="eastAsia"/>
                <w:sz w:val="22"/>
              </w:rPr>
              <w:t xml:space="preserve">8838.70 </w:t>
            </w:r>
          </w:p>
        </w:tc>
        <w:tc>
          <w:tcPr>
            <w:tcW w:w="689" w:type="pct"/>
            <w:shd w:val="clear" w:color="auto" w:fill="auto"/>
            <w:noWrap/>
            <w:vAlign w:val="center"/>
          </w:tcPr>
          <w:p w14:paraId="180CE056" w14:textId="77777777" w:rsidR="00784CB6" w:rsidRDefault="00000000">
            <w:pPr>
              <w:widowControl/>
              <w:jc w:val="center"/>
              <w:rPr>
                <w:sz w:val="22"/>
              </w:rPr>
            </w:pPr>
            <w:r>
              <w:rPr>
                <w:rFonts w:hint="eastAsia"/>
                <w:sz w:val="22"/>
              </w:rPr>
              <w:t xml:space="preserve">80655.00 </w:t>
            </w:r>
          </w:p>
        </w:tc>
        <w:tc>
          <w:tcPr>
            <w:tcW w:w="647" w:type="pct"/>
            <w:shd w:val="clear" w:color="auto" w:fill="auto"/>
            <w:noWrap/>
            <w:vAlign w:val="center"/>
          </w:tcPr>
          <w:p w14:paraId="410713A4" w14:textId="77777777" w:rsidR="00784CB6" w:rsidRDefault="00000000">
            <w:pPr>
              <w:widowControl/>
              <w:jc w:val="center"/>
              <w:rPr>
                <w:sz w:val="22"/>
              </w:rPr>
            </w:pPr>
            <w:r>
              <w:rPr>
                <w:rFonts w:hint="eastAsia"/>
                <w:sz w:val="22"/>
              </w:rPr>
              <w:t xml:space="preserve">109.59 </w:t>
            </w:r>
          </w:p>
        </w:tc>
      </w:tr>
      <w:tr w:rsidR="00784CB6" w14:paraId="6718C730" w14:textId="77777777">
        <w:trPr>
          <w:trHeight w:val="567"/>
          <w:jc w:val="center"/>
        </w:trPr>
        <w:tc>
          <w:tcPr>
            <w:tcW w:w="470" w:type="pct"/>
            <w:shd w:val="clear" w:color="auto" w:fill="auto"/>
            <w:vAlign w:val="center"/>
          </w:tcPr>
          <w:p w14:paraId="79E5C523" w14:textId="77777777" w:rsidR="00784CB6" w:rsidRDefault="00784CB6">
            <w:pPr>
              <w:pStyle w:val="affb"/>
              <w:widowControl/>
              <w:numPr>
                <w:ilvl w:val="0"/>
                <w:numId w:val="12"/>
              </w:numPr>
              <w:ind w:firstLineChars="0"/>
              <w:jc w:val="center"/>
              <w:rPr>
                <w:color w:val="000000"/>
                <w:szCs w:val="21"/>
              </w:rPr>
            </w:pPr>
          </w:p>
        </w:tc>
        <w:tc>
          <w:tcPr>
            <w:tcW w:w="871" w:type="pct"/>
            <w:vAlign w:val="center"/>
          </w:tcPr>
          <w:p w14:paraId="7EC8BB75" w14:textId="77777777" w:rsidR="00784CB6" w:rsidRDefault="00000000">
            <w:pPr>
              <w:widowControl/>
              <w:jc w:val="center"/>
              <w:rPr>
                <w:sz w:val="22"/>
              </w:rPr>
            </w:pPr>
            <w:r>
              <w:rPr>
                <w:rFonts w:hint="eastAsia"/>
                <w:sz w:val="22"/>
              </w:rPr>
              <w:t xml:space="preserve">4236820.00 </w:t>
            </w:r>
          </w:p>
        </w:tc>
        <w:tc>
          <w:tcPr>
            <w:tcW w:w="546" w:type="pct"/>
            <w:vAlign w:val="center"/>
          </w:tcPr>
          <w:p w14:paraId="75CC7F7F" w14:textId="77777777" w:rsidR="00784CB6" w:rsidRDefault="00000000">
            <w:pPr>
              <w:widowControl/>
              <w:jc w:val="center"/>
              <w:rPr>
                <w:sz w:val="22"/>
              </w:rPr>
            </w:pPr>
            <w:r>
              <w:rPr>
                <w:rFonts w:hint="eastAsia"/>
                <w:sz w:val="22"/>
              </w:rPr>
              <w:t xml:space="preserve">2461.59 </w:t>
            </w:r>
          </w:p>
        </w:tc>
        <w:tc>
          <w:tcPr>
            <w:tcW w:w="611" w:type="pct"/>
            <w:shd w:val="clear" w:color="auto" w:fill="auto"/>
            <w:vAlign w:val="center"/>
          </w:tcPr>
          <w:p w14:paraId="41441F0D" w14:textId="77777777" w:rsidR="00784CB6" w:rsidRDefault="00000000">
            <w:pPr>
              <w:widowControl/>
              <w:jc w:val="center"/>
              <w:rPr>
                <w:sz w:val="22"/>
              </w:rPr>
            </w:pPr>
            <w:r>
              <w:rPr>
                <w:rFonts w:hint="eastAsia"/>
                <w:sz w:val="22"/>
              </w:rPr>
              <w:t xml:space="preserve">10055.02 </w:t>
            </w:r>
          </w:p>
        </w:tc>
        <w:tc>
          <w:tcPr>
            <w:tcW w:w="546" w:type="pct"/>
            <w:vAlign w:val="center"/>
          </w:tcPr>
          <w:p w14:paraId="6D680F8F"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4C29D8FC" w14:textId="77777777" w:rsidR="00784CB6" w:rsidRDefault="00000000">
            <w:pPr>
              <w:widowControl/>
              <w:jc w:val="center"/>
              <w:rPr>
                <w:sz w:val="22"/>
              </w:rPr>
            </w:pPr>
            <w:r>
              <w:rPr>
                <w:rFonts w:hint="eastAsia"/>
                <w:sz w:val="22"/>
              </w:rPr>
              <w:t xml:space="preserve">12516.62 </w:t>
            </w:r>
          </w:p>
        </w:tc>
        <w:tc>
          <w:tcPr>
            <w:tcW w:w="689" w:type="pct"/>
            <w:shd w:val="clear" w:color="auto" w:fill="auto"/>
            <w:noWrap/>
            <w:vAlign w:val="center"/>
          </w:tcPr>
          <w:p w14:paraId="7C761515" w14:textId="77777777" w:rsidR="00784CB6" w:rsidRDefault="00000000">
            <w:pPr>
              <w:widowControl/>
              <w:jc w:val="center"/>
              <w:rPr>
                <w:sz w:val="22"/>
              </w:rPr>
            </w:pPr>
            <w:r>
              <w:rPr>
                <w:rFonts w:hint="eastAsia"/>
                <w:sz w:val="22"/>
              </w:rPr>
              <w:t xml:space="preserve">98906.00 </w:t>
            </w:r>
          </w:p>
        </w:tc>
        <w:tc>
          <w:tcPr>
            <w:tcW w:w="647" w:type="pct"/>
            <w:shd w:val="clear" w:color="auto" w:fill="auto"/>
            <w:noWrap/>
            <w:vAlign w:val="center"/>
          </w:tcPr>
          <w:p w14:paraId="5913C927" w14:textId="77777777" w:rsidR="00784CB6" w:rsidRDefault="00000000">
            <w:pPr>
              <w:widowControl/>
              <w:jc w:val="center"/>
              <w:rPr>
                <w:sz w:val="22"/>
              </w:rPr>
            </w:pPr>
            <w:r>
              <w:rPr>
                <w:rFonts w:hint="eastAsia"/>
                <w:sz w:val="22"/>
              </w:rPr>
              <w:t xml:space="preserve">126.55 </w:t>
            </w:r>
          </w:p>
        </w:tc>
      </w:tr>
      <w:tr w:rsidR="00784CB6" w14:paraId="7229D13B" w14:textId="77777777">
        <w:trPr>
          <w:trHeight w:val="567"/>
          <w:jc w:val="center"/>
        </w:trPr>
        <w:tc>
          <w:tcPr>
            <w:tcW w:w="470" w:type="pct"/>
            <w:shd w:val="clear" w:color="auto" w:fill="auto"/>
            <w:vAlign w:val="center"/>
          </w:tcPr>
          <w:p w14:paraId="3C9E7D77" w14:textId="77777777" w:rsidR="00784CB6" w:rsidRDefault="00784CB6">
            <w:pPr>
              <w:pStyle w:val="affb"/>
              <w:widowControl/>
              <w:numPr>
                <w:ilvl w:val="0"/>
                <w:numId w:val="12"/>
              </w:numPr>
              <w:ind w:firstLineChars="0"/>
              <w:jc w:val="center"/>
              <w:rPr>
                <w:color w:val="000000"/>
                <w:szCs w:val="21"/>
              </w:rPr>
            </w:pPr>
          </w:p>
        </w:tc>
        <w:tc>
          <w:tcPr>
            <w:tcW w:w="871" w:type="pct"/>
            <w:vAlign w:val="center"/>
          </w:tcPr>
          <w:p w14:paraId="27400FD4" w14:textId="77777777" w:rsidR="00784CB6" w:rsidRDefault="00000000">
            <w:pPr>
              <w:widowControl/>
              <w:jc w:val="center"/>
              <w:rPr>
                <w:sz w:val="22"/>
              </w:rPr>
            </w:pPr>
            <w:r>
              <w:rPr>
                <w:rFonts w:hint="eastAsia"/>
                <w:sz w:val="22"/>
              </w:rPr>
              <w:t xml:space="preserve">3137500.00 </w:t>
            </w:r>
          </w:p>
        </w:tc>
        <w:tc>
          <w:tcPr>
            <w:tcW w:w="546" w:type="pct"/>
            <w:vAlign w:val="center"/>
          </w:tcPr>
          <w:p w14:paraId="5FAC0A6F" w14:textId="77777777" w:rsidR="00784CB6" w:rsidRDefault="00000000">
            <w:pPr>
              <w:widowControl/>
              <w:jc w:val="center"/>
              <w:rPr>
                <w:sz w:val="22"/>
              </w:rPr>
            </w:pPr>
            <w:r>
              <w:rPr>
                <w:rFonts w:hint="eastAsia"/>
                <w:sz w:val="22"/>
              </w:rPr>
              <w:t xml:space="preserve">1822.89 </w:t>
            </w:r>
          </w:p>
        </w:tc>
        <w:tc>
          <w:tcPr>
            <w:tcW w:w="611" w:type="pct"/>
            <w:shd w:val="clear" w:color="auto" w:fill="auto"/>
            <w:vAlign w:val="center"/>
          </w:tcPr>
          <w:p w14:paraId="66193D08" w14:textId="77777777" w:rsidR="00784CB6" w:rsidRDefault="00000000">
            <w:pPr>
              <w:widowControl/>
              <w:jc w:val="center"/>
              <w:rPr>
                <w:sz w:val="22"/>
              </w:rPr>
            </w:pPr>
            <w:r>
              <w:rPr>
                <w:rFonts w:hint="eastAsia"/>
                <w:sz w:val="22"/>
              </w:rPr>
              <w:t xml:space="preserve">11104.84 </w:t>
            </w:r>
          </w:p>
        </w:tc>
        <w:tc>
          <w:tcPr>
            <w:tcW w:w="546" w:type="pct"/>
            <w:vAlign w:val="center"/>
          </w:tcPr>
          <w:p w14:paraId="71474DA5"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577AA8CD" w14:textId="77777777" w:rsidR="00784CB6" w:rsidRDefault="00000000">
            <w:pPr>
              <w:widowControl/>
              <w:jc w:val="center"/>
              <w:rPr>
                <w:sz w:val="22"/>
              </w:rPr>
            </w:pPr>
            <w:r>
              <w:rPr>
                <w:rFonts w:hint="eastAsia"/>
                <w:sz w:val="22"/>
              </w:rPr>
              <w:t xml:space="preserve">12927.72 </w:t>
            </w:r>
          </w:p>
        </w:tc>
        <w:tc>
          <w:tcPr>
            <w:tcW w:w="689" w:type="pct"/>
            <w:shd w:val="clear" w:color="auto" w:fill="auto"/>
            <w:noWrap/>
            <w:vAlign w:val="center"/>
          </w:tcPr>
          <w:p w14:paraId="17AAB60A" w14:textId="77777777" w:rsidR="00784CB6" w:rsidRDefault="00000000">
            <w:pPr>
              <w:widowControl/>
              <w:jc w:val="center"/>
              <w:rPr>
                <w:sz w:val="22"/>
              </w:rPr>
            </w:pPr>
            <w:r>
              <w:rPr>
                <w:rFonts w:hint="eastAsia"/>
                <w:sz w:val="22"/>
              </w:rPr>
              <w:t xml:space="preserve">124020.00 </w:t>
            </w:r>
          </w:p>
        </w:tc>
        <w:tc>
          <w:tcPr>
            <w:tcW w:w="647" w:type="pct"/>
            <w:shd w:val="clear" w:color="auto" w:fill="auto"/>
            <w:noWrap/>
            <w:vAlign w:val="center"/>
          </w:tcPr>
          <w:p w14:paraId="0B1650E3" w14:textId="77777777" w:rsidR="00784CB6" w:rsidRDefault="00000000">
            <w:pPr>
              <w:widowControl/>
              <w:jc w:val="center"/>
              <w:rPr>
                <w:sz w:val="22"/>
              </w:rPr>
            </w:pPr>
            <w:r>
              <w:rPr>
                <w:rFonts w:hint="eastAsia"/>
                <w:sz w:val="22"/>
              </w:rPr>
              <w:t xml:space="preserve">104.24 </w:t>
            </w:r>
          </w:p>
        </w:tc>
      </w:tr>
      <w:tr w:rsidR="00784CB6" w14:paraId="5333DC0A" w14:textId="77777777">
        <w:trPr>
          <w:trHeight w:val="567"/>
          <w:jc w:val="center"/>
        </w:trPr>
        <w:tc>
          <w:tcPr>
            <w:tcW w:w="470" w:type="pct"/>
            <w:shd w:val="clear" w:color="auto" w:fill="auto"/>
            <w:vAlign w:val="center"/>
          </w:tcPr>
          <w:p w14:paraId="494CAA30" w14:textId="77777777" w:rsidR="00784CB6" w:rsidRDefault="00784CB6">
            <w:pPr>
              <w:pStyle w:val="affb"/>
              <w:widowControl/>
              <w:numPr>
                <w:ilvl w:val="0"/>
                <w:numId w:val="12"/>
              </w:numPr>
              <w:ind w:firstLineChars="0"/>
              <w:jc w:val="center"/>
              <w:rPr>
                <w:color w:val="000000"/>
                <w:szCs w:val="21"/>
              </w:rPr>
            </w:pPr>
          </w:p>
        </w:tc>
        <w:tc>
          <w:tcPr>
            <w:tcW w:w="871" w:type="pct"/>
            <w:vAlign w:val="center"/>
          </w:tcPr>
          <w:p w14:paraId="1D29C0B1" w14:textId="77777777" w:rsidR="00784CB6" w:rsidRDefault="00000000">
            <w:pPr>
              <w:widowControl/>
              <w:jc w:val="center"/>
              <w:rPr>
                <w:sz w:val="22"/>
              </w:rPr>
            </w:pPr>
            <w:r>
              <w:rPr>
                <w:rFonts w:hint="eastAsia"/>
                <w:sz w:val="22"/>
              </w:rPr>
              <w:t xml:space="preserve">1985600.00 </w:t>
            </w:r>
          </w:p>
        </w:tc>
        <w:tc>
          <w:tcPr>
            <w:tcW w:w="546" w:type="pct"/>
            <w:vAlign w:val="center"/>
          </w:tcPr>
          <w:p w14:paraId="65D20431" w14:textId="77777777" w:rsidR="00784CB6" w:rsidRDefault="00000000">
            <w:pPr>
              <w:widowControl/>
              <w:jc w:val="center"/>
              <w:rPr>
                <w:sz w:val="22"/>
              </w:rPr>
            </w:pPr>
            <w:r>
              <w:rPr>
                <w:rFonts w:hint="eastAsia"/>
                <w:sz w:val="22"/>
              </w:rPr>
              <w:t xml:space="preserve">1153.63 </w:t>
            </w:r>
          </w:p>
        </w:tc>
        <w:tc>
          <w:tcPr>
            <w:tcW w:w="611" w:type="pct"/>
            <w:shd w:val="clear" w:color="auto" w:fill="auto"/>
            <w:vAlign w:val="center"/>
          </w:tcPr>
          <w:p w14:paraId="44F7A6FD" w14:textId="77777777" w:rsidR="00784CB6" w:rsidRDefault="00000000">
            <w:pPr>
              <w:widowControl/>
              <w:jc w:val="center"/>
              <w:rPr>
                <w:sz w:val="22"/>
              </w:rPr>
            </w:pPr>
            <w:r>
              <w:rPr>
                <w:rFonts w:hint="eastAsia"/>
                <w:sz w:val="22"/>
              </w:rPr>
              <w:t xml:space="preserve">5122.81 </w:t>
            </w:r>
          </w:p>
        </w:tc>
        <w:tc>
          <w:tcPr>
            <w:tcW w:w="546" w:type="pct"/>
            <w:vAlign w:val="center"/>
          </w:tcPr>
          <w:p w14:paraId="6BCE13EB"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5BDF20AC" w14:textId="77777777" w:rsidR="00784CB6" w:rsidRDefault="00000000">
            <w:pPr>
              <w:widowControl/>
              <w:jc w:val="center"/>
              <w:rPr>
                <w:sz w:val="22"/>
              </w:rPr>
            </w:pPr>
            <w:r>
              <w:rPr>
                <w:rFonts w:hint="eastAsia"/>
                <w:sz w:val="22"/>
              </w:rPr>
              <w:t xml:space="preserve">6276.44 </w:t>
            </w:r>
          </w:p>
        </w:tc>
        <w:tc>
          <w:tcPr>
            <w:tcW w:w="689" w:type="pct"/>
            <w:shd w:val="clear" w:color="auto" w:fill="auto"/>
            <w:noWrap/>
            <w:vAlign w:val="center"/>
          </w:tcPr>
          <w:p w14:paraId="19F53B88" w14:textId="77777777" w:rsidR="00784CB6" w:rsidRDefault="00000000">
            <w:pPr>
              <w:widowControl/>
              <w:jc w:val="center"/>
              <w:rPr>
                <w:sz w:val="22"/>
              </w:rPr>
            </w:pPr>
            <w:r>
              <w:rPr>
                <w:rFonts w:hint="eastAsia"/>
                <w:sz w:val="22"/>
              </w:rPr>
              <w:t xml:space="preserve">55945.00 </w:t>
            </w:r>
          </w:p>
        </w:tc>
        <w:tc>
          <w:tcPr>
            <w:tcW w:w="647" w:type="pct"/>
            <w:shd w:val="clear" w:color="auto" w:fill="auto"/>
            <w:noWrap/>
            <w:vAlign w:val="center"/>
          </w:tcPr>
          <w:p w14:paraId="6FF98A19" w14:textId="77777777" w:rsidR="00784CB6" w:rsidRDefault="00000000">
            <w:pPr>
              <w:widowControl/>
              <w:jc w:val="center"/>
              <w:rPr>
                <w:sz w:val="22"/>
              </w:rPr>
            </w:pPr>
            <w:r>
              <w:rPr>
                <w:rFonts w:hint="eastAsia"/>
                <w:sz w:val="22"/>
              </w:rPr>
              <w:t xml:space="preserve">112.19 </w:t>
            </w:r>
          </w:p>
        </w:tc>
      </w:tr>
      <w:tr w:rsidR="00784CB6" w14:paraId="4C5CA9FD" w14:textId="77777777">
        <w:trPr>
          <w:trHeight w:val="567"/>
          <w:jc w:val="center"/>
        </w:trPr>
        <w:tc>
          <w:tcPr>
            <w:tcW w:w="470" w:type="pct"/>
            <w:shd w:val="clear" w:color="auto" w:fill="auto"/>
            <w:vAlign w:val="center"/>
          </w:tcPr>
          <w:p w14:paraId="078D4853" w14:textId="77777777" w:rsidR="00784CB6" w:rsidRDefault="00784CB6">
            <w:pPr>
              <w:pStyle w:val="affb"/>
              <w:widowControl/>
              <w:numPr>
                <w:ilvl w:val="0"/>
                <w:numId w:val="12"/>
              </w:numPr>
              <w:ind w:firstLineChars="0"/>
              <w:jc w:val="center"/>
              <w:rPr>
                <w:color w:val="000000"/>
                <w:szCs w:val="21"/>
              </w:rPr>
            </w:pPr>
          </w:p>
        </w:tc>
        <w:tc>
          <w:tcPr>
            <w:tcW w:w="871" w:type="pct"/>
            <w:vAlign w:val="center"/>
          </w:tcPr>
          <w:p w14:paraId="521C3FB7" w14:textId="77777777" w:rsidR="00784CB6" w:rsidRDefault="00000000">
            <w:pPr>
              <w:widowControl/>
              <w:jc w:val="center"/>
              <w:rPr>
                <w:sz w:val="22"/>
              </w:rPr>
            </w:pPr>
            <w:r>
              <w:rPr>
                <w:rFonts w:hint="eastAsia"/>
                <w:sz w:val="22"/>
              </w:rPr>
              <w:t xml:space="preserve">3032500.00 </w:t>
            </w:r>
          </w:p>
        </w:tc>
        <w:tc>
          <w:tcPr>
            <w:tcW w:w="546" w:type="pct"/>
            <w:vAlign w:val="center"/>
          </w:tcPr>
          <w:p w14:paraId="20C525BA" w14:textId="77777777" w:rsidR="00784CB6" w:rsidRDefault="00000000">
            <w:pPr>
              <w:widowControl/>
              <w:jc w:val="center"/>
              <w:rPr>
                <w:sz w:val="22"/>
              </w:rPr>
            </w:pPr>
            <w:r>
              <w:rPr>
                <w:rFonts w:hint="eastAsia"/>
                <w:sz w:val="22"/>
              </w:rPr>
              <w:t xml:space="preserve">1761.88 </w:t>
            </w:r>
          </w:p>
        </w:tc>
        <w:tc>
          <w:tcPr>
            <w:tcW w:w="611" w:type="pct"/>
            <w:shd w:val="clear" w:color="auto" w:fill="auto"/>
            <w:vAlign w:val="center"/>
          </w:tcPr>
          <w:p w14:paraId="464506AB" w14:textId="77777777" w:rsidR="00784CB6" w:rsidRDefault="00000000">
            <w:pPr>
              <w:widowControl/>
              <w:jc w:val="center"/>
              <w:rPr>
                <w:sz w:val="22"/>
              </w:rPr>
            </w:pPr>
            <w:r>
              <w:rPr>
                <w:rFonts w:hint="eastAsia"/>
                <w:sz w:val="22"/>
              </w:rPr>
              <w:t xml:space="preserve">12665.97 </w:t>
            </w:r>
          </w:p>
        </w:tc>
        <w:tc>
          <w:tcPr>
            <w:tcW w:w="546" w:type="pct"/>
            <w:vAlign w:val="center"/>
          </w:tcPr>
          <w:p w14:paraId="611DAD81"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4A961078" w14:textId="77777777" w:rsidR="00784CB6" w:rsidRDefault="00000000">
            <w:pPr>
              <w:widowControl/>
              <w:jc w:val="center"/>
              <w:rPr>
                <w:sz w:val="22"/>
              </w:rPr>
            </w:pPr>
            <w:r>
              <w:rPr>
                <w:rFonts w:hint="eastAsia"/>
                <w:sz w:val="22"/>
              </w:rPr>
              <w:t xml:space="preserve">14427.85 </w:t>
            </w:r>
          </w:p>
        </w:tc>
        <w:tc>
          <w:tcPr>
            <w:tcW w:w="689" w:type="pct"/>
            <w:shd w:val="clear" w:color="auto" w:fill="auto"/>
            <w:noWrap/>
            <w:vAlign w:val="center"/>
          </w:tcPr>
          <w:p w14:paraId="7A02A6EE" w14:textId="77777777" w:rsidR="00784CB6" w:rsidRDefault="00000000">
            <w:pPr>
              <w:widowControl/>
              <w:jc w:val="center"/>
              <w:rPr>
                <w:sz w:val="22"/>
              </w:rPr>
            </w:pPr>
            <w:r>
              <w:rPr>
                <w:rFonts w:hint="eastAsia"/>
                <w:sz w:val="22"/>
              </w:rPr>
              <w:t xml:space="preserve">97810.00 </w:t>
            </w:r>
          </w:p>
        </w:tc>
        <w:tc>
          <w:tcPr>
            <w:tcW w:w="647" w:type="pct"/>
            <w:shd w:val="clear" w:color="auto" w:fill="auto"/>
            <w:noWrap/>
            <w:vAlign w:val="center"/>
          </w:tcPr>
          <w:p w14:paraId="52CAE269" w14:textId="77777777" w:rsidR="00784CB6" w:rsidRDefault="00000000">
            <w:pPr>
              <w:widowControl/>
              <w:jc w:val="center"/>
              <w:rPr>
                <w:sz w:val="22"/>
              </w:rPr>
            </w:pPr>
            <w:r>
              <w:rPr>
                <w:rFonts w:hint="eastAsia"/>
                <w:sz w:val="22"/>
              </w:rPr>
              <w:t xml:space="preserve">147.51 </w:t>
            </w:r>
          </w:p>
        </w:tc>
      </w:tr>
      <w:tr w:rsidR="00784CB6" w14:paraId="7401FCB0" w14:textId="77777777">
        <w:trPr>
          <w:trHeight w:val="567"/>
          <w:jc w:val="center"/>
        </w:trPr>
        <w:tc>
          <w:tcPr>
            <w:tcW w:w="470" w:type="pct"/>
            <w:shd w:val="clear" w:color="auto" w:fill="auto"/>
            <w:vAlign w:val="center"/>
          </w:tcPr>
          <w:p w14:paraId="19F23291" w14:textId="77777777" w:rsidR="00784CB6" w:rsidRDefault="00784CB6">
            <w:pPr>
              <w:pStyle w:val="affb"/>
              <w:widowControl/>
              <w:numPr>
                <w:ilvl w:val="0"/>
                <w:numId w:val="12"/>
              </w:numPr>
              <w:ind w:firstLineChars="0"/>
              <w:jc w:val="center"/>
              <w:rPr>
                <w:color w:val="000000"/>
                <w:szCs w:val="21"/>
              </w:rPr>
            </w:pPr>
          </w:p>
        </w:tc>
        <w:tc>
          <w:tcPr>
            <w:tcW w:w="871" w:type="pct"/>
            <w:vAlign w:val="center"/>
          </w:tcPr>
          <w:p w14:paraId="7B8AAE7A" w14:textId="77777777" w:rsidR="00784CB6" w:rsidRDefault="00000000">
            <w:pPr>
              <w:widowControl/>
              <w:jc w:val="center"/>
              <w:rPr>
                <w:sz w:val="22"/>
              </w:rPr>
            </w:pPr>
            <w:r>
              <w:rPr>
                <w:rFonts w:hint="eastAsia"/>
                <w:sz w:val="22"/>
              </w:rPr>
              <w:t xml:space="preserve">5945300.00 </w:t>
            </w:r>
          </w:p>
        </w:tc>
        <w:tc>
          <w:tcPr>
            <w:tcW w:w="546" w:type="pct"/>
            <w:vAlign w:val="center"/>
          </w:tcPr>
          <w:p w14:paraId="12547B4E" w14:textId="77777777" w:rsidR="00784CB6" w:rsidRDefault="00000000">
            <w:pPr>
              <w:widowControl/>
              <w:jc w:val="center"/>
              <w:rPr>
                <w:sz w:val="22"/>
              </w:rPr>
            </w:pPr>
            <w:r>
              <w:rPr>
                <w:rFonts w:hint="eastAsia"/>
                <w:sz w:val="22"/>
              </w:rPr>
              <w:t xml:space="preserve">3454.22 </w:t>
            </w:r>
          </w:p>
        </w:tc>
        <w:tc>
          <w:tcPr>
            <w:tcW w:w="611" w:type="pct"/>
            <w:shd w:val="clear" w:color="auto" w:fill="auto"/>
            <w:vAlign w:val="center"/>
          </w:tcPr>
          <w:p w14:paraId="4E0B11E9" w14:textId="77777777" w:rsidR="00784CB6" w:rsidRDefault="00000000">
            <w:pPr>
              <w:widowControl/>
              <w:jc w:val="center"/>
              <w:rPr>
                <w:sz w:val="22"/>
              </w:rPr>
            </w:pPr>
            <w:r>
              <w:rPr>
                <w:rFonts w:hint="eastAsia"/>
                <w:sz w:val="22"/>
              </w:rPr>
              <w:t xml:space="preserve">20783.10 </w:t>
            </w:r>
          </w:p>
        </w:tc>
        <w:tc>
          <w:tcPr>
            <w:tcW w:w="546" w:type="pct"/>
            <w:vAlign w:val="center"/>
          </w:tcPr>
          <w:p w14:paraId="19BB08CA"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374CEB80" w14:textId="77777777" w:rsidR="00784CB6" w:rsidRDefault="00000000">
            <w:pPr>
              <w:widowControl/>
              <w:jc w:val="center"/>
              <w:rPr>
                <w:sz w:val="22"/>
              </w:rPr>
            </w:pPr>
            <w:r>
              <w:rPr>
                <w:rFonts w:hint="eastAsia"/>
                <w:sz w:val="22"/>
              </w:rPr>
              <w:t xml:space="preserve">24237.32 </w:t>
            </w:r>
          </w:p>
        </w:tc>
        <w:tc>
          <w:tcPr>
            <w:tcW w:w="689" w:type="pct"/>
            <w:shd w:val="clear" w:color="auto" w:fill="auto"/>
            <w:noWrap/>
            <w:vAlign w:val="center"/>
          </w:tcPr>
          <w:p w14:paraId="1CF3573B" w14:textId="77777777" w:rsidR="00784CB6" w:rsidRDefault="00000000">
            <w:pPr>
              <w:widowControl/>
              <w:jc w:val="center"/>
              <w:rPr>
                <w:sz w:val="22"/>
              </w:rPr>
            </w:pPr>
            <w:r>
              <w:rPr>
                <w:rFonts w:hint="eastAsia"/>
                <w:sz w:val="22"/>
              </w:rPr>
              <w:t xml:space="preserve">175233.50 </w:t>
            </w:r>
          </w:p>
        </w:tc>
        <w:tc>
          <w:tcPr>
            <w:tcW w:w="647" w:type="pct"/>
            <w:shd w:val="clear" w:color="auto" w:fill="auto"/>
            <w:noWrap/>
            <w:vAlign w:val="center"/>
          </w:tcPr>
          <w:p w14:paraId="3E664215" w14:textId="77777777" w:rsidR="00784CB6" w:rsidRDefault="00000000">
            <w:pPr>
              <w:widowControl/>
              <w:jc w:val="center"/>
              <w:rPr>
                <w:sz w:val="22"/>
              </w:rPr>
            </w:pPr>
            <w:r>
              <w:rPr>
                <w:rFonts w:hint="eastAsia"/>
                <w:sz w:val="22"/>
              </w:rPr>
              <w:t xml:space="preserve">138.31 </w:t>
            </w:r>
          </w:p>
        </w:tc>
      </w:tr>
      <w:tr w:rsidR="00784CB6" w14:paraId="60F84101" w14:textId="77777777">
        <w:trPr>
          <w:trHeight w:val="567"/>
          <w:jc w:val="center"/>
        </w:trPr>
        <w:tc>
          <w:tcPr>
            <w:tcW w:w="470" w:type="pct"/>
            <w:shd w:val="clear" w:color="auto" w:fill="auto"/>
            <w:vAlign w:val="center"/>
          </w:tcPr>
          <w:p w14:paraId="0B47DCB5" w14:textId="77777777" w:rsidR="00784CB6" w:rsidRDefault="00784CB6">
            <w:pPr>
              <w:pStyle w:val="affb"/>
              <w:widowControl/>
              <w:numPr>
                <w:ilvl w:val="0"/>
                <w:numId w:val="12"/>
              </w:numPr>
              <w:ind w:firstLineChars="0"/>
              <w:jc w:val="center"/>
              <w:rPr>
                <w:color w:val="000000"/>
                <w:szCs w:val="21"/>
              </w:rPr>
            </w:pPr>
          </w:p>
        </w:tc>
        <w:tc>
          <w:tcPr>
            <w:tcW w:w="871" w:type="pct"/>
            <w:vAlign w:val="center"/>
          </w:tcPr>
          <w:p w14:paraId="5EEACD77" w14:textId="77777777" w:rsidR="00784CB6" w:rsidRDefault="00000000">
            <w:pPr>
              <w:widowControl/>
              <w:jc w:val="center"/>
              <w:rPr>
                <w:sz w:val="22"/>
              </w:rPr>
            </w:pPr>
            <w:r>
              <w:rPr>
                <w:rFonts w:hint="eastAsia"/>
                <w:sz w:val="22"/>
              </w:rPr>
              <w:t xml:space="preserve">2523520.00 </w:t>
            </w:r>
          </w:p>
        </w:tc>
        <w:tc>
          <w:tcPr>
            <w:tcW w:w="546" w:type="pct"/>
            <w:vAlign w:val="center"/>
          </w:tcPr>
          <w:p w14:paraId="70D93388" w14:textId="77777777" w:rsidR="00784CB6" w:rsidRDefault="00000000">
            <w:pPr>
              <w:widowControl/>
              <w:jc w:val="center"/>
              <w:rPr>
                <w:sz w:val="22"/>
              </w:rPr>
            </w:pPr>
            <w:r>
              <w:rPr>
                <w:rFonts w:hint="eastAsia"/>
                <w:sz w:val="22"/>
              </w:rPr>
              <w:t xml:space="preserve">1466.17 </w:t>
            </w:r>
          </w:p>
        </w:tc>
        <w:tc>
          <w:tcPr>
            <w:tcW w:w="611" w:type="pct"/>
            <w:shd w:val="clear" w:color="auto" w:fill="auto"/>
            <w:vAlign w:val="center"/>
          </w:tcPr>
          <w:p w14:paraId="579AD86C" w14:textId="77777777" w:rsidR="00784CB6" w:rsidRDefault="00000000">
            <w:pPr>
              <w:widowControl/>
              <w:jc w:val="center"/>
              <w:rPr>
                <w:sz w:val="22"/>
              </w:rPr>
            </w:pPr>
            <w:r>
              <w:rPr>
                <w:rFonts w:hint="eastAsia"/>
                <w:sz w:val="22"/>
              </w:rPr>
              <w:t xml:space="preserve">7101.02 </w:t>
            </w:r>
          </w:p>
        </w:tc>
        <w:tc>
          <w:tcPr>
            <w:tcW w:w="546" w:type="pct"/>
            <w:vAlign w:val="center"/>
          </w:tcPr>
          <w:p w14:paraId="6A6D965A"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092DE2D9" w14:textId="77777777" w:rsidR="00784CB6" w:rsidRDefault="00000000">
            <w:pPr>
              <w:widowControl/>
              <w:jc w:val="center"/>
              <w:rPr>
                <w:sz w:val="22"/>
              </w:rPr>
            </w:pPr>
            <w:r>
              <w:rPr>
                <w:rFonts w:hint="eastAsia"/>
                <w:sz w:val="22"/>
              </w:rPr>
              <w:t xml:space="preserve">8567.18 </w:t>
            </w:r>
          </w:p>
        </w:tc>
        <w:tc>
          <w:tcPr>
            <w:tcW w:w="689" w:type="pct"/>
            <w:shd w:val="clear" w:color="auto" w:fill="auto"/>
            <w:noWrap/>
            <w:vAlign w:val="center"/>
          </w:tcPr>
          <w:p w14:paraId="406464BE" w14:textId="77777777" w:rsidR="00784CB6" w:rsidRDefault="00000000">
            <w:pPr>
              <w:widowControl/>
              <w:jc w:val="center"/>
              <w:rPr>
                <w:sz w:val="22"/>
              </w:rPr>
            </w:pPr>
            <w:r>
              <w:rPr>
                <w:rFonts w:hint="eastAsia"/>
                <w:sz w:val="22"/>
              </w:rPr>
              <w:t xml:space="preserve">79292.40 </w:t>
            </w:r>
          </w:p>
        </w:tc>
        <w:tc>
          <w:tcPr>
            <w:tcW w:w="647" w:type="pct"/>
            <w:shd w:val="clear" w:color="auto" w:fill="auto"/>
            <w:noWrap/>
            <w:vAlign w:val="center"/>
          </w:tcPr>
          <w:p w14:paraId="6679928E" w14:textId="77777777" w:rsidR="00784CB6" w:rsidRDefault="00000000">
            <w:pPr>
              <w:widowControl/>
              <w:jc w:val="center"/>
              <w:rPr>
                <w:sz w:val="22"/>
              </w:rPr>
            </w:pPr>
            <w:r>
              <w:rPr>
                <w:rFonts w:hint="eastAsia"/>
                <w:sz w:val="22"/>
              </w:rPr>
              <w:t xml:space="preserve">108.05 </w:t>
            </w:r>
          </w:p>
        </w:tc>
      </w:tr>
      <w:tr w:rsidR="00784CB6" w14:paraId="7361EA38" w14:textId="77777777">
        <w:trPr>
          <w:trHeight w:val="567"/>
          <w:jc w:val="center"/>
        </w:trPr>
        <w:tc>
          <w:tcPr>
            <w:tcW w:w="470" w:type="pct"/>
            <w:shd w:val="clear" w:color="auto" w:fill="auto"/>
            <w:vAlign w:val="center"/>
          </w:tcPr>
          <w:p w14:paraId="2EE2A106" w14:textId="77777777" w:rsidR="00784CB6" w:rsidRDefault="00784CB6">
            <w:pPr>
              <w:pStyle w:val="affb"/>
              <w:widowControl/>
              <w:numPr>
                <w:ilvl w:val="0"/>
                <w:numId w:val="12"/>
              </w:numPr>
              <w:ind w:firstLineChars="0"/>
              <w:jc w:val="center"/>
            </w:pPr>
          </w:p>
        </w:tc>
        <w:tc>
          <w:tcPr>
            <w:tcW w:w="871" w:type="pct"/>
            <w:vAlign w:val="center"/>
          </w:tcPr>
          <w:p w14:paraId="47483EF7" w14:textId="77777777" w:rsidR="00784CB6" w:rsidRDefault="00000000">
            <w:pPr>
              <w:widowControl/>
              <w:jc w:val="center"/>
              <w:rPr>
                <w:sz w:val="22"/>
              </w:rPr>
            </w:pPr>
            <w:r>
              <w:rPr>
                <w:rFonts w:hint="eastAsia"/>
                <w:sz w:val="22"/>
              </w:rPr>
              <w:t xml:space="preserve">10755670.10 </w:t>
            </w:r>
          </w:p>
        </w:tc>
        <w:tc>
          <w:tcPr>
            <w:tcW w:w="546" w:type="pct"/>
            <w:vAlign w:val="center"/>
          </w:tcPr>
          <w:p w14:paraId="39A47720" w14:textId="77777777" w:rsidR="00784CB6" w:rsidRDefault="00000000">
            <w:pPr>
              <w:widowControl/>
              <w:jc w:val="center"/>
              <w:rPr>
                <w:sz w:val="22"/>
              </w:rPr>
            </w:pPr>
            <w:r>
              <w:rPr>
                <w:rFonts w:hint="eastAsia"/>
                <w:sz w:val="22"/>
              </w:rPr>
              <w:t xml:space="preserve">6249.04 </w:t>
            </w:r>
          </w:p>
        </w:tc>
        <w:tc>
          <w:tcPr>
            <w:tcW w:w="611" w:type="pct"/>
            <w:shd w:val="clear" w:color="auto" w:fill="auto"/>
            <w:vAlign w:val="center"/>
          </w:tcPr>
          <w:p w14:paraId="757AE7F4" w14:textId="77777777" w:rsidR="00784CB6" w:rsidRDefault="00000000">
            <w:pPr>
              <w:widowControl/>
              <w:jc w:val="center"/>
              <w:rPr>
                <w:sz w:val="22"/>
              </w:rPr>
            </w:pPr>
            <w:r>
              <w:rPr>
                <w:rFonts w:hint="eastAsia"/>
                <w:sz w:val="22"/>
              </w:rPr>
              <w:t xml:space="preserve">22702.93 </w:t>
            </w:r>
          </w:p>
        </w:tc>
        <w:tc>
          <w:tcPr>
            <w:tcW w:w="546" w:type="pct"/>
            <w:vAlign w:val="center"/>
          </w:tcPr>
          <w:p w14:paraId="072179F9"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2A510286" w14:textId="77777777" w:rsidR="00784CB6" w:rsidRDefault="00000000">
            <w:pPr>
              <w:widowControl/>
              <w:jc w:val="center"/>
              <w:rPr>
                <w:sz w:val="22"/>
              </w:rPr>
            </w:pPr>
            <w:r>
              <w:rPr>
                <w:rFonts w:hint="eastAsia"/>
                <w:sz w:val="22"/>
              </w:rPr>
              <w:t xml:space="preserve">28951.98 </w:t>
            </w:r>
          </w:p>
        </w:tc>
        <w:tc>
          <w:tcPr>
            <w:tcW w:w="689" w:type="pct"/>
            <w:shd w:val="clear" w:color="auto" w:fill="auto"/>
            <w:noWrap/>
            <w:vAlign w:val="center"/>
          </w:tcPr>
          <w:p w14:paraId="00DAA9F2" w14:textId="77777777" w:rsidR="00784CB6" w:rsidRDefault="00000000">
            <w:pPr>
              <w:widowControl/>
              <w:jc w:val="center"/>
              <w:rPr>
                <w:sz w:val="22"/>
              </w:rPr>
            </w:pPr>
            <w:r>
              <w:rPr>
                <w:rFonts w:hint="eastAsia"/>
                <w:sz w:val="22"/>
              </w:rPr>
              <w:t xml:space="preserve">183319.35 </w:t>
            </w:r>
          </w:p>
        </w:tc>
        <w:tc>
          <w:tcPr>
            <w:tcW w:w="647" w:type="pct"/>
            <w:shd w:val="clear" w:color="auto" w:fill="auto"/>
            <w:noWrap/>
            <w:vAlign w:val="center"/>
          </w:tcPr>
          <w:p w14:paraId="5FB66588" w14:textId="77777777" w:rsidR="00784CB6" w:rsidRDefault="00000000">
            <w:pPr>
              <w:widowControl/>
              <w:jc w:val="center"/>
              <w:rPr>
                <w:sz w:val="22"/>
              </w:rPr>
            </w:pPr>
            <w:r>
              <w:rPr>
                <w:rFonts w:hint="eastAsia"/>
                <w:sz w:val="22"/>
              </w:rPr>
              <w:t xml:space="preserve">157.93 </w:t>
            </w:r>
          </w:p>
        </w:tc>
      </w:tr>
      <w:tr w:rsidR="00784CB6" w14:paraId="3BC6478F" w14:textId="77777777">
        <w:trPr>
          <w:trHeight w:val="567"/>
          <w:jc w:val="center"/>
        </w:trPr>
        <w:tc>
          <w:tcPr>
            <w:tcW w:w="470" w:type="pct"/>
            <w:shd w:val="clear" w:color="auto" w:fill="auto"/>
            <w:vAlign w:val="center"/>
          </w:tcPr>
          <w:p w14:paraId="0E636D85" w14:textId="77777777" w:rsidR="00784CB6" w:rsidRDefault="00784CB6">
            <w:pPr>
              <w:pStyle w:val="affb"/>
              <w:widowControl/>
              <w:numPr>
                <w:ilvl w:val="0"/>
                <w:numId w:val="12"/>
              </w:numPr>
              <w:ind w:firstLineChars="0"/>
              <w:jc w:val="center"/>
            </w:pPr>
          </w:p>
        </w:tc>
        <w:tc>
          <w:tcPr>
            <w:tcW w:w="871" w:type="pct"/>
            <w:vAlign w:val="center"/>
          </w:tcPr>
          <w:p w14:paraId="176D2E82" w14:textId="77777777" w:rsidR="00784CB6" w:rsidRDefault="00000000">
            <w:pPr>
              <w:widowControl/>
              <w:jc w:val="center"/>
              <w:rPr>
                <w:sz w:val="22"/>
              </w:rPr>
            </w:pPr>
            <w:r>
              <w:rPr>
                <w:rFonts w:hint="eastAsia"/>
                <w:sz w:val="22"/>
              </w:rPr>
              <w:t xml:space="preserve">6529372.00 </w:t>
            </w:r>
          </w:p>
        </w:tc>
        <w:tc>
          <w:tcPr>
            <w:tcW w:w="546" w:type="pct"/>
            <w:vAlign w:val="center"/>
          </w:tcPr>
          <w:p w14:paraId="529DE4A0" w14:textId="77777777" w:rsidR="00784CB6" w:rsidRDefault="00000000">
            <w:pPr>
              <w:widowControl/>
              <w:jc w:val="center"/>
              <w:rPr>
                <w:sz w:val="22"/>
              </w:rPr>
            </w:pPr>
            <w:r>
              <w:rPr>
                <w:rFonts w:hint="eastAsia"/>
                <w:sz w:val="22"/>
              </w:rPr>
              <w:t xml:space="preserve">3793.57 </w:t>
            </w:r>
          </w:p>
        </w:tc>
        <w:tc>
          <w:tcPr>
            <w:tcW w:w="611" w:type="pct"/>
            <w:shd w:val="clear" w:color="auto" w:fill="auto"/>
            <w:vAlign w:val="center"/>
          </w:tcPr>
          <w:p w14:paraId="0E58BF32" w14:textId="77777777" w:rsidR="00784CB6" w:rsidRDefault="00000000">
            <w:pPr>
              <w:widowControl/>
              <w:jc w:val="center"/>
              <w:rPr>
                <w:sz w:val="22"/>
              </w:rPr>
            </w:pPr>
            <w:r>
              <w:rPr>
                <w:rFonts w:hint="eastAsia"/>
                <w:sz w:val="22"/>
              </w:rPr>
              <w:t xml:space="preserve">14109.00 </w:t>
            </w:r>
          </w:p>
        </w:tc>
        <w:tc>
          <w:tcPr>
            <w:tcW w:w="546" w:type="pct"/>
            <w:vAlign w:val="center"/>
          </w:tcPr>
          <w:p w14:paraId="7DAB984F"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3AFF02EA" w14:textId="77777777" w:rsidR="00784CB6" w:rsidRDefault="00000000">
            <w:pPr>
              <w:widowControl/>
              <w:jc w:val="center"/>
              <w:rPr>
                <w:sz w:val="22"/>
              </w:rPr>
            </w:pPr>
            <w:r>
              <w:rPr>
                <w:rFonts w:hint="eastAsia"/>
                <w:sz w:val="22"/>
              </w:rPr>
              <w:t xml:space="preserve">17902.56 </w:t>
            </w:r>
          </w:p>
        </w:tc>
        <w:tc>
          <w:tcPr>
            <w:tcW w:w="689" w:type="pct"/>
            <w:shd w:val="clear" w:color="auto" w:fill="auto"/>
            <w:noWrap/>
            <w:vAlign w:val="center"/>
          </w:tcPr>
          <w:p w14:paraId="641F9A5B" w14:textId="77777777" w:rsidR="00784CB6" w:rsidRDefault="00000000">
            <w:pPr>
              <w:widowControl/>
              <w:jc w:val="center"/>
              <w:rPr>
                <w:sz w:val="22"/>
              </w:rPr>
            </w:pPr>
            <w:r>
              <w:rPr>
                <w:rFonts w:hint="eastAsia"/>
                <w:sz w:val="22"/>
              </w:rPr>
              <w:t xml:space="preserve">323278.80 </w:t>
            </w:r>
          </w:p>
        </w:tc>
        <w:tc>
          <w:tcPr>
            <w:tcW w:w="647" w:type="pct"/>
            <w:shd w:val="clear" w:color="auto" w:fill="auto"/>
            <w:noWrap/>
            <w:vAlign w:val="center"/>
          </w:tcPr>
          <w:p w14:paraId="2B717C9C" w14:textId="77777777" w:rsidR="00784CB6" w:rsidRDefault="00000000">
            <w:pPr>
              <w:widowControl/>
              <w:jc w:val="center"/>
              <w:rPr>
                <w:sz w:val="22"/>
              </w:rPr>
            </w:pPr>
            <w:r>
              <w:rPr>
                <w:rFonts w:hint="eastAsia"/>
                <w:sz w:val="22"/>
              </w:rPr>
              <w:t xml:space="preserve">55.38 </w:t>
            </w:r>
          </w:p>
        </w:tc>
      </w:tr>
      <w:tr w:rsidR="00784CB6" w14:paraId="10F92331" w14:textId="77777777">
        <w:trPr>
          <w:trHeight w:val="567"/>
          <w:jc w:val="center"/>
        </w:trPr>
        <w:tc>
          <w:tcPr>
            <w:tcW w:w="470" w:type="pct"/>
            <w:shd w:val="clear" w:color="auto" w:fill="auto"/>
            <w:vAlign w:val="center"/>
          </w:tcPr>
          <w:p w14:paraId="40B41F74" w14:textId="77777777" w:rsidR="00784CB6" w:rsidRDefault="00784CB6">
            <w:pPr>
              <w:pStyle w:val="affb"/>
              <w:widowControl/>
              <w:numPr>
                <w:ilvl w:val="0"/>
                <w:numId w:val="12"/>
              </w:numPr>
              <w:ind w:firstLineChars="0"/>
              <w:jc w:val="center"/>
              <w:rPr>
                <w:rFonts w:ascii="宋体" w:hAnsi="Calibri" w:cs="宋体"/>
                <w:color w:val="000000"/>
                <w:kern w:val="0"/>
                <w:sz w:val="22"/>
              </w:rPr>
            </w:pPr>
          </w:p>
        </w:tc>
        <w:tc>
          <w:tcPr>
            <w:tcW w:w="871" w:type="pct"/>
            <w:vAlign w:val="center"/>
          </w:tcPr>
          <w:p w14:paraId="59276B33" w14:textId="77777777" w:rsidR="00784CB6" w:rsidRDefault="00000000">
            <w:pPr>
              <w:widowControl/>
              <w:jc w:val="center"/>
              <w:rPr>
                <w:sz w:val="22"/>
              </w:rPr>
            </w:pPr>
            <w:r>
              <w:rPr>
                <w:rFonts w:hint="eastAsia"/>
                <w:sz w:val="22"/>
              </w:rPr>
              <w:t xml:space="preserve">3530945.00 </w:t>
            </w:r>
          </w:p>
        </w:tc>
        <w:tc>
          <w:tcPr>
            <w:tcW w:w="546" w:type="pct"/>
            <w:vAlign w:val="center"/>
          </w:tcPr>
          <w:p w14:paraId="584856FF" w14:textId="77777777" w:rsidR="00784CB6" w:rsidRDefault="00000000">
            <w:pPr>
              <w:widowControl/>
              <w:jc w:val="center"/>
              <w:rPr>
                <w:sz w:val="22"/>
              </w:rPr>
            </w:pPr>
            <w:r>
              <w:rPr>
                <w:rFonts w:hint="eastAsia"/>
                <w:sz w:val="22"/>
              </w:rPr>
              <w:t xml:space="preserve">2051.48 </w:t>
            </w:r>
          </w:p>
        </w:tc>
        <w:tc>
          <w:tcPr>
            <w:tcW w:w="611" w:type="pct"/>
            <w:shd w:val="clear" w:color="auto" w:fill="auto"/>
            <w:vAlign w:val="center"/>
          </w:tcPr>
          <w:p w14:paraId="6A3E5BD0" w14:textId="77777777" w:rsidR="00784CB6" w:rsidRDefault="00000000">
            <w:pPr>
              <w:widowControl/>
              <w:jc w:val="center"/>
              <w:rPr>
                <w:sz w:val="22"/>
              </w:rPr>
            </w:pPr>
            <w:r>
              <w:rPr>
                <w:rFonts w:hint="eastAsia"/>
                <w:sz w:val="22"/>
              </w:rPr>
              <w:t xml:space="preserve">15283.06 </w:t>
            </w:r>
          </w:p>
        </w:tc>
        <w:tc>
          <w:tcPr>
            <w:tcW w:w="546" w:type="pct"/>
            <w:vAlign w:val="center"/>
          </w:tcPr>
          <w:p w14:paraId="755518F8"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5CABDD33" w14:textId="77777777" w:rsidR="00784CB6" w:rsidRDefault="00000000">
            <w:pPr>
              <w:widowControl/>
              <w:jc w:val="center"/>
              <w:rPr>
                <w:sz w:val="22"/>
              </w:rPr>
            </w:pPr>
            <w:r>
              <w:rPr>
                <w:rFonts w:hint="eastAsia"/>
                <w:sz w:val="22"/>
              </w:rPr>
              <w:t xml:space="preserve">17334.53 </w:t>
            </w:r>
          </w:p>
        </w:tc>
        <w:tc>
          <w:tcPr>
            <w:tcW w:w="689" w:type="pct"/>
            <w:shd w:val="clear" w:color="auto" w:fill="auto"/>
            <w:noWrap/>
            <w:vAlign w:val="center"/>
          </w:tcPr>
          <w:p w14:paraId="4851D826" w14:textId="77777777" w:rsidR="00784CB6" w:rsidRDefault="00000000">
            <w:pPr>
              <w:widowControl/>
              <w:jc w:val="center"/>
              <w:rPr>
                <w:sz w:val="22"/>
              </w:rPr>
            </w:pPr>
            <w:r>
              <w:rPr>
                <w:rFonts w:hint="eastAsia"/>
                <w:sz w:val="22"/>
              </w:rPr>
              <w:t xml:space="preserve">209371.94 </w:t>
            </w:r>
          </w:p>
        </w:tc>
        <w:tc>
          <w:tcPr>
            <w:tcW w:w="647" w:type="pct"/>
            <w:shd w:val="clear" w:color="auto" w:fill="auto"/>
            <w:noWrap/>
            <w:vAlign w:val="center"/>
          </w:tcPr>
          <w:p w14:paraId="06DE15DB" w14:textId="77777777" w:rsidR="00784CB6" w:rsidRDefault="00000000">
            <w:pPr>
              <w:widowControl/>
              <w:jc w:val="center"/>
              <w:rPr>
                <w:sz w:val="22"/>
              </w:rPr>
            </w:pPr>
            <w:r>
              <w:rPr>
                <w:rFonts w:hint="eastAsia"/>
                <w:sz w:val="22"/>
              </w:rPr>
              <w:t xml:space="preserve">82.79 </w:t>
            </w:r>
          </w:p>
        </w:tc>
      </w:tr>
      <w:tr w:rsidR="00784CB6" w14:paraId="2C272ED8" w14:textId="77777777">
        <w:trPr>
          <w:trHeight w:val="567"/>
          <w:jc w:val="center"/>
        </w:trPr>
        <w:tc>
          <w:tcPr>
            <w:tcW w:w="470" w:type="pct"/>
            <w:shd w:val="clear" w:color="auto" w:fill="auto"/>
            <w:vAlign w:val="center"/>
          </w:tcPr>
          <w:p w14:paraId="40C7BDDB" w14:textId="77777777" w:rsidR="00784CB6" w:rsidRDefault="00784CB6">
            <w:pPr>
              <w:pStyle w:val="affb"/>
              <w:widowControl/>
              <w:numPr>
                <w:ilvl w:val="0"/>
                <w:numId w:val="12"/>
              </w:numPr>
              <w:ind w:firstLineChars="0"/>
              <w:jc w:val="center"/>
              <w:rPr>
                <w:rFonts w:ascii="宋体" w:hAnsi="Calibri" w:cs="宋体"/>
                <w:color w:val="000000"/>
                <w:kern w:val="0"/>
                <w:sz w:val="22"/>
              </w:rPr>
            </w:pPr>
          </w:p>
        </w:tc>
        <w:tc>
          <w:tcPr>
            <w:tcW w:w="871" w:type="pct"/>
            <w:vAlign w:val="center"/>
          </w:tcPr>
          <w:p w14:paraId="49CB5718" w14:textId="77777777" w:rsidR="00784CB6" w:rsidRDefault="00000000">
            <w:pPr>
              <w:widowControl/>
              <w:jc w:val="center"/>
              <w:rPr>
                <w:sz w:val="22"/>
              </w:rPr>
            </w:pPr>
            <w:r>
              <w:rPr>
                <w:rFonts w:hint="eastAsia"/>
                <w:sz w:val="22"/>
              </w:rPr>
              <w:t xml:space="preserve">4827630.00 </w:t>
            </w:r>
          </w:p>
        </w:tc>
        <w:tc>
          <w:tcPr>
            <w:tcW w:w="546" w:type="pct"/>
            <w:vAlign w:val="center"/>
          </w:tcPr>
          <w:p w14:paraId="18D91A13" w14:textId="77777777" w:rsidR="00784CB6" w:rsidRDefault="00000000">
            <w:pPr>
              <w:widowControl/>
              <w:jc w:val="center"/>
              <w:rPr>
                <w:sz w:val="22"/>
              </w:rPr>
            </w:pPr>
            <w:r>
              <w:rPr>
                <w:rFonts w:hint="eastAsia"/>
                <w:sz w:val="22"/>
              </w:rPr>
              <w:t xml:space="preserve">2804.85 </w:t>
            </w:r>
          </w:p>
        </w:tc>
        <w:tc>
          <w:tcPr>
            <w:tcW w:w="611" w:type="pct"/>
            <w:shd w:val="clear" w:color="auto" w:fill="auto"/>
            <w:vAlign w:val="center"/>
          </w:tcPr>
          <w:p w14:paraId="5BCA0306" w14:textId="77777777" w:rsidR="00784CB6" w:rsidRDefault="00000000">
            <w:pPr>
              <w:widowControl/>
              <w:jc w:val="center"/>
              <w:rPr>
                <w:sz w:val="22"/>
              </w:rPr>
            </w:pPr>
            <w:r>
              <w:rPr>
                <w:rFonts w:hint="eastAsia"/>
                <w:sz w:val="22"/>
              </w:rPr>
              <w:t xml:space="preserve">23474.42 </w:t>
            </w:r>
          </w:p>
        </w:tc>
        <w:tc>
          <w:tcPr>
            <w:tcW w:w="546" w:type="pct"/>
            <w:vAlign w:val="center"/>
          </w:tcPr>
          <w:p w14:paraId="6FE2D8E4" w14:textId="77777777" w:rsidR="00784CB6" w:rsidRDefault="00000000">
            <w:pPr>
              <w:widowControl/>
              <w:jc w:val="center"/>
              <w:rPr>
                <w:sz w:val="22"/>
              </w:rPr>
            </w:pPr>
            <w:r>
              <w:rPr>
                <w:rFonts w:hint="eastAsia"/>
                <w:sz w:val="22"/>
              </w:rPr>
              <w:t xml:space="preserve">/ </w:t>
            </w:r>
          </w:p>
        </w:tc>
        <w:tc>
          <w:tcPr>
            <w:tcW w:w="620" w:type="pct"/>
            <w:shd w:val="clear" w:color="auto" w:fill="auto"/>
            <w:vAlign w:val="center"/>
          </w:tcPr>
          <w:p w14:paraId="6CA78941" w14:textId="77777777" w:rsidR="00784CB6" w:rsidRDefault="00000000">
            <w:pPr>
              <w:widowControl/>
              <w:jc w:val="center"/>
              <w:rPr>
                <w:sz w:val="22"/>
              </w:rPr>
            </w:pPr>
            <w:r>
              <w:rPr>
                <w:rFonts w:hint="eastAsia"/>
                <w:sz w:val="22"/>
              </w:rPr>
              <w:t xml:space="preserve">26279.27 </w:t>
            </w:r>
          </w:p>
        </w:tc>
        <w:tc>
          <w:tcPr>
            <w:tcW w:w="689" w:type="pct"/>
            <w:shd w:val="clear" w:color="auto" w:fill="auto"/>
            <w:noWrap/>
            <w:vAlign w:val="center"/>
          </w:tcPr>
          <w:p w14:paraId="72496823" w14:textId="77777777" w:rsidR="00784CB6" w:rsidRDefault="00000000">
            <w:pPr>
              <w:widowControl/>
              <w:jc w:val="center"/>
              <w:rPr>
                <w:sz w:val="22"/>
              </w:rPr>
            </w:pPr>
            <w:r>
              <w:rPr>
                <w:rFonts w:hint="eastAsia"/>
                <w:sz w:val="22"/>
              </w:rPr>
              <w:t xml:space="preserve">305218.09 </w:t>
            </w:r>
          </w:p>
        </w:tc>
        <w:tc>
          <w:tcPr>
            <w:tcW w:w="647" w:type="pct"/>
            <w:shd w:val="clear" w:color="auto" w:fill="auto"/>
            <w:noWrap/>
            <w:vAlign w:val="center"/>
          </w:tcPr>
          <w:p w14:paraId="052D0BB7" w14:textId="77777777" w:rsidR="00784CB6" w:rsidRDefault="00000000">
            <w:pPr>
              <w:widowControl/>
              <w:jc w:val="center"/>
              <w:rPr>
                <w:sz w:val="22"/>
              </w:rPr>
            </w:pPr>
            <w:r>
              <w:rPr>
                <w:rFonts w:hint="eastAsia"/>
                <w:sz w:val="22"/>
              </w:rPr>
              <w:t xml:space="preserve">86.10 </w:t>
            </w:r>
          </w:p>
        </w:tc>
      </w:tr>
      <w:tr w:rsidR="00784CB6" w14:paraId="3DFAFF3F" w14:textId="77777777">
        <w:trPr>
          <w:trHeight w:val="567"/>
          <w:jc w:val="center"/>
        </w:trPr>
        <w:tc>
          <w:tcPr>
            <w:tcW w:w="470" w:type="pct"/>
            <w:shd w:val="clear" w:color="auto" w:fill="auto"/>
            <w:vAlign w:val="center"/>
          </w:tcPr>
          <w:p w14:paraId="763CD341" w14:textId="77777777" w:rsidR="00784CB6" w:rsidRDefault="00784CB6">
            <w:pPr>
              <w:pStyle w:val="affb"/>
              <w:widowControl/>
              <w:numPr>
                <w:ilvl w:val="0"/>
                <w:numId w:val="12"/>
              </w:numPr>
              <w:ind w:firstLineChars="0"/>
              <w:jc w:val="center"/>
              <w:rPr>
                <w:rFonts w:ascii="宋体" w:hAnsi="Calibri" w:cs="宋体"/>
                <w:color w:val="000000"/>
                <w:kern w:val="0"/>
                <w:sz w:val="22"/>
              </w:rPr>
            </w:pPr>
          </w:p>
        </w:tc>
        <w:tc>
          <w:tcPr>
            <w:tcW w:w="871" w:type="pct"/>
            <w:vAlign w:val="center"/>
          </w:tcPr>
          <w:p w14:paraId="16816D10" w14:textId="77777777" w:rsidR="00784CB6" w:rsidRDefault="00000000">
            <w:pPr>
              <w:widowControl/>
              <w:jc w:val="center"/>
              <w:rPr>
                <w:sz w:val="22"/>
              </w:rPr>
            </w:pPr>
            <w:r>
              <w:rPr>
                <w:rFonts w:hint="eastAsia"/>
                <w:sz w:val="22"/>
              </w:rPr>
              <w:t xml:space="preserve">5839085.50 </w:t>
            </w:r>
          </w:p>
        </w:tc>
        <w:tc>
          <w:tcPr>
            <w:tcW w:w="546" w:type="pct"/>
            <w:vAlign w:val="center"/>
          </w:tcPr>
          <w:p w14:paraId="7E41A971" w14:textId="77777777" w:rsidR="00784CB6" w:rsidRDefault="00000000">
            <w:pPr>
              <w:widowControl/>
              <w:jc w:val="center"/>
              <w:rPr>
                <w:sz w:val="22"/>
              </w:rPr>
            </w:pPr>
            <w:r>
              <w:rPr>
                <w:rFonts w:hint="eastAsia"/>
                <w:sz w:val="22"/>
              </w:rPr>
              <w:t xml:space="preserve">3392.51 </w:t>
            </w:r>
          </w:p>
        </w:tc>
        <w:tc>
          <w:tcPr>
            <w:tcW w:w="611" w:type="pct"/>
            <w:shd w:val="clear" w:color="auto" w:fill="auto"/>
            <w:vAlign w:val="center"/>
          </w:tcPr>
          <w:p w14:paraId="380E61D1" w14:textId="77777777" w:rsidR="00784CB6" w:rsidRDefault="00000000">
            <w:pPr>
              <w:widowControl/>
              <w:jc w:val="center"/>
              <w:rPr>
                <w:sz w:val="22"/>
              </w:rPr>
            </w:pPr>
            <w:r>
              <w:rPr>
                <w:rFonts w:hint="eastAsia"/>
                <w:sz w:val="22"/>
              </w:rPr>
              <w:t xml:space="preserve">11091.82 </w:t>
            </w:r>
          </w:p>
        </w:tc>
        <w:tc>
          <w:tcPr>
            <w:tcW w:w="546" w:type="pct"/>
            <w:vAlign w:val="center"/>
          </w:tcPr>
          <w:p w14:paraId="1ACB5BE1"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06908F1F" w14:textId="77777777" w:rsidR="00784CB6" w:rsidRDefault="00000000">
            <w:pPr>
              <w:widowControl/>
              <w:jc w:val="center"/>
              <w:rPr>
                <w:sz w:val="22"/>
              </w:rPr>
            </w:pPr>
            <w:r>
              <w:rPr>
                <w:rFonts w:hint="eastAsia"/>
                <w:sz w:val="22"/>
              </w:rPr>
              <w:t xml:space="preserve">14484.33 </w:t>
            </w:r>
          </w:p>
        </w:tc>
        <w:tc>
          <w:tcPr>
            <w:tcW w:w="689" w:type="pct"/>
            <w:shd w:val="clear" w:color="auto" w:fill="auto"/>
            <w:noWrap/>
            <w:vAlign w:val="center"/>
          </w:tcPr>
          <w:p w14:paraId="72CF5D91" w14:textId="77777777" w:rsidR="00784CB6" w:rsidRDefault="00000000">
            <w:pPr>
              <w:widowControl/>
              <w:jc w:val="center"/>
              <w:rPr>
                <w:sz w:val="22"/>
              </w:rPr>
            </w:pPr>
            <w:r>
              <w:rPr>
                <w:rFonts w:hint="eastAsia"/>
                <w:sz w:val="22"/>
              </w:rPr>
              <w:t xml:space="preserve">228150.00 </w:t>
            </w:r>
          </w:p>
        </w:tc>
        <w:tc>
          <w:tcPr>
            <w:tcW w:w="647" w:type="pct"/>
            <w:shd w:val="clear" w:color="auto" w:fill="auto"/>
            <w:noWrap/>
            <w:vAlign w:val="center"/>
          </w:tcPr>
          <w:p w14:paraId="1845848E" w14:textId="77777777" w:rsidR="00784CB6" w:rsidRDefault="00000000">
            <w:pPr>
              <w:widowControl/>
              <w:jc w:val="center"/>
              <w:rPr>
                <w:sz w:val="22"/>
              </w:rPr>
            </w:pPr>
            <w:r>
              <w:rPr>
                <w:rFonts w:hint="eastAsia"/>
                <w:sz w:val="22"/>
              </w:rPr>
              <w:t xml:space="preserve">63.49 </w:t>
            </w:r>
          </w:p>
        </w:tc>
      </w:tr>
      <w:tr w:rsidR="00784CB6" w14:paraId="52BB162D" w14:textId="77777777">
        <w:trPr>
          <w:trHeight w:val="567"/>
          <w:jc w:val="center"/>
        </w:trPr>
        <w:tc>
          <w:tcPr>
            <w:tcW w:w="470" w:type="pct"/>
            <w:shd w:val="clear" w:color="auto" w:fill="auto"/>
            <w:vAlign w:val="center"/>
          </w:tcPr>
          <w:p w14:paraId="611EEE8C" w14:textId="77777777" w:rsidR="00784CB6" w:rsidRDefault="00784CB6">
            <w:pPr>
              <w:pStyle w:val="affb"/>
              <w:widowControl/>
              <w:numPr>
                <w:ilvl w:val="0"/>
                <w:numId w:val="12"/>
              </w:numPr>
              <w:ind w:firstLineChars="0"/>
              <w:jc w:val="center"/>
              <w:rPr>
                <w:color w:val="000000"/>
                <w:sz w:val="22"/>
              </w:rPr>
            </w:pPr>
          </w:p>
        </w:tc>
        <w:tc>
          <w:tcPr>
            <w:tcW w:w="871" w:type="pct"/>
            <w:vAlign w:val="center"/>
          </w:tcPr>
          <w:p w14:paraId="7AB268D1" w14:textId="77777777" w:rsidR="00784CB6" w:rsidRDefault="00000000">
            <w:pPr>
              <w:widowControl/>
              <w:jc w:val="center"/>
              <w:rPr>
                <w:sz w:val="22"/>
              </w:rPr>
            </w:pPr>
            <w:r>
              <w:rPr>
                <w:rFonts w:hint="eastAsia"/>
                <w:sz w:val="22"/>
              </w:rPr>
              <w:t xml:space="preserve">4800600.00 </w:t>
            </w:r>
          </w:p>
        </w:tc>
        <w:tc>
          <w:tcPr>
            <w:tcW w:w="546" w:type="pct"/>
            <w:vAlign w:val="center"/>
          </w:tcPr>
          <w:p w14:paraId="296C12B6" w14:textId="77777777" w:rsidR="00784CB6" w:rsidRDefault="00000000">
            <w:pPr>
              <w:widowControl/>
              <w:jc w:val="center"/>
              <w:rPr>
                <w:sz w:val="22"/>
              </w:rPr>
            </w:pPr>
            <w:r>
              <w:rPr>
                <w:rFonts w:hint="eastAsia"/>
                <w:sz w:val="22"/>
              </w:rPr>
              <w:t xml:space="preserve">2789.15 </w:t>
            </w:r>
          </w:p>
        </w:tc>
        <w:tc>
          <w:tcPr>
            <w:tcW w:w="611" w:type="pct"/>
            <w:shd w:val="clear" w:color="auto" w:fill="auto"/>
            <w:vAlign w:val="center"/>
          </w:tcPr>
          <w:p w14:paraId="3216A277" w14:textId="77777777" w:rsidR="00784CB6" w:rsidRDefault="00000000">
            <w:pPr>
              <w:widowControl/>
              <w:jc w:val="center"/>
              <w:rPr>
                <w:sz w:val="22"/>
              </w:rPr>
            </w:pPr>
            <w:r>
              <w:rPr>
                <w:rFonts w:hint="eastAsia"/>
                <w:sz w:val="22"/>
              </w:rPr>
              <w:t xml:space="preserve">12538.19 </w:t>
            </w:r>
          </w:p>
        </w:tc>
        <w:tc>
          <w:tcPr>
            <w:tcW w:w="546" w:type="pct"/>
            <w:vAlign w:val="center"/>
          </w:tcPr>
          <w:p w14:paraId="29637A9C" w14:textId="77777777" w:rsidR="00784CB6" w:rsidRDefault="00000000">
            <w:pPr>
              <w:widowControl/>
              <w:jc w:val="center"/>
              <w:rPr>
                <w:sz w:val="22"/>
              </w:rPr>
            </w:pPr>
            <w:r>
              <w:rPr>
                <w:rFonts w:hint="eastAsia"/>
                <w:sz w:val="22"/>
              </w:rPr>
              <w:t>/</w:t>
            </w:r>
          </w:p>
        </w:tc>
        <w:tc>
          <w:tcPr>
            <w:tcW w:w="620" w:type="pct"/>
            <w:shd w:val="clear" w:color="auto" w:fill="auto"/>
            <w:vAlign w:val="center"/>
          </w:tcPr>
          <w:p w14:paraId="6863822B" w14:textId="77777777" w:rsidR="00784CB6" w:rsidRDefault="00000000">
            <w:pPr>
              <w:widowControl/>
              <w:jc w:val="center"/>
              <w:rPr>
                <w:sz w:val="22"/>
              </w:rPr>
            </w:pPr>
            <w:r>
              <w:rPr>
                <w:rFonts w:hint="eastAsia"/>
                <w:sz w:val="22"/>
              </w:rPr>
              <w:t xml:space="preserve">15327.34 </w:t>
            </w:r>
          </w:p>
        </w:tc>
        <w:tc>
          <w:tcPr>
            <w:tcW w:w="689" w:type="pct"/>
            <w:shd w:val="clear" w:color="auto" w:fill="auto"/>
            <w:noWrap/>
            <w:vAlign w:val="center"/>
          </w:tcPr>
          <w:p w14:paraId="4C85A11C" w14:textId="77777777" w:rsidR="00784CB6" w:rsidRDefault="00000000">
            <w:pPr>
              <w:widowControl/>
              <w:jc w:val="center"/>
              <w:rPr>
                <w:sz w:val="22"/>
              </w:rPr>
            </w:pPr>
            <w:r>
              <w:rPr>
                <w:rFonts w:hint="eastAsia"/>
                <w:sz w:val="22"/>
              </w:rPr>
              <w:t xml:space="preserve">169417.00 </w:t>
            </w:r>
          </w:p>
        </w:tc>
        <w:tc>
          <w:tcPr>
            <w:tcW w:w="647" w:type="pct"/>
            <w:shd w:val="clear" w:color="auto" w:fill="auto"/>
            <w:noWrap/>
            <w:vAlign w:val="center"/>
          </w:tcPr>
          <w:p w14:paraId="3D8281D1" w14:textId="77777777" w:rsidR="00784CB6" w:rsidRDefault="00000000">
            <w:pPr>
              <w:widowControl/>
              <w:jc w:val="center"/>
              <w:rPr>
                <w:sz w:val="22"/>
              </w:rPr>
            </w:pPr>
            <w:r>
              <w:rPr>
                <w:rFonts w:hint="eastAsia"/>
                <w:sz w:val="22"/>
              </w:rPr>
              <w:t xml:space="preserve">90.47 </w:t>
            </w:r>
          </w:p>
        </w:tc>
      </w:tr>
      <w:bookmarkEnd w:id="26"/>
    </w:tbl>
    <w:p w14:paraId="6E4EA1B9" w14:textId="77777777" w:rsidR="00784CB6" w:rsidRDefault="00784CB6">
      <w:pPr>
        <w:pStyle w:val="2"/>
      </w:pPr>
    </w:p>
    <w:p w14:paraId="599F2D31" w14:textId="77777777" w:rsidR="00784CB6" w:rsidRDefault="00000000">
      <w:pPr>
        <w:rPr>
          <w:rFonts w:asciiTheme="majorHAnsi" w:eastAsia="黑体" w:hAnsiTheme="majorHAnsi" w:cstheme="majorBidi"/>
          <w:b/>
          <w:bCs/>
          <w:sz w:val="24"/>
          <w:szCs w:val="32"/>
        </w:rPr>
      </w:pPr>
      <w:r>
        <w:rPr>
          <w:rFonts w:asciiTheme="majorHAnsi" w:eastAsia="黑体" w:hAnsiTheme="majorHAnsi" w:cstheme="majorBidi" w:hint="eastAsia"/>
          <w:b/>
          <w:bCs/>
          <w:sz w:val="24"/>
          <w:szCs w:val="32"/>
        </w:rPr>
        <w:t>2</w:t>
      </w:r>
      <w:r>
        <w:rPr>
          <w:rFonts w:asciiTheme="majorHAnsi" w:eastAsia="黑体" w:hAnsiTheme="majorHAnsi" w:cstheme="majorBidi"/>
          <w:b/>
          <w:bCs/>
          <w:sz w:val="24"/>
          <w:szCs w:val="32"/>
        </w:rPr>
        <w:t xml:space="preserve">. </w:t>
      </w:r>
      <w:r>
        <w:rPr>
          <w:rFonts w:asciiTheme="majorHAnsi" w:eastAsia="黑体" w:hAnsiTheme="majorHAnsi" w:cstheme="majorBidi" w:hint="eastAsia"/>
          <w:b/>
          <w:bCs/>
          <w:sz w:val="24"/>
          <w:szCs w:val="32"/>
        </w:rPr>
        <w:t>推广应用认证和预期达到的经济效果</w:t>
      </w:r>
    </w:p>
    <w:p w14:paraId="4A959BB9"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碳排放核算是做好碳达峰碳中和工作的重要基础，是制定政策、推动工作、开展考核、谈判履约的重要依据。在《碳排放权交易管理办法（试行）》中，要求重点排放企业核算碳排放情况并进行报告，同时委托第三方机构依据行业碳排放核算方法开展碳核查；</w:t>
      </w:r>
      <w:r>
        <w:rPr>
          <w:rFonts w:ascii="宋体" w:eastAsia="宋体" w:hAnsi="宋体"/>
          <w:sz w:val="24"/>
          <w:szCs w:val="24"/>
        </w:rPr>
        <w:t>2023</w:t>
      </w:r>
      <w:r>
        <w:rPr>
          <w:rFonts w:ascii="宋体" w:eastAsia="宋体" w:hAnsi="宋体" w:hint="eastAsia"/>
          <w:sz w:val="24"/>
          <w:szCs w:val="24"/>
        </w:rPr>
        <w:t>年，国家发展改革委印发《固定资产投资项目节能审查办法》，对于具备碳排放统计核算条件的项目，提出应在节能报告中增加碳排放量、碳排放强度、降碳措施、碳排放情况对所在地完成降碳目标任务的影响，从源头推进节能降碳，为能耗</w:t>
      </w:r>
      <w:r>
        <w:rPr>
          <w:rFonts w:ascii="宋体" w:eastAsia="宋体" w:hAnsi="宋体"/>
          <w:sz w:val="24"/>
          <w:szCs w:val="24"/>
        </w:rPr>
        <w:t>“</w:t>
      </w:r>
      <w:r>
        <w:rPr>
          <w:rFonts w:ascii="宋体" w:eastAsia="宋体" w:hAnsi="宋体" w:hint="eastAsia"/>
          <w:sz w:val="24"/>
          <w:szCs w:val="24"/>
        </w:rPr>
        <w:t>双控</w:t>
      </w:r>
      <w:r>
        <w:rPr>
          <w:rFonts w:ascii="宋体" w:eastAsia="宋体" w:hAnsi="宋体"/>
          <w:sz w:val="24"/>
          <w:szCs w:val="24"/>
        </w:rPr>
        <w:t>”</w:t>
      </w:r>
      <w:r>
        <w:rPr>
          <w:rFonts w:ascii="宋体" w:eastAsia="宋体" w:hAnsi="宋体" w:hint="eastAsia"/>
          <w:sz w:val="24"/>
          <w:szCs w:val="24"/>
        </w:rPr>
        <w:t>逐步转向碳排放总量和强度</w:t>
      </w:r>
      <w:r>
        <w:rPr>
          <w:rFonts w:ascii="宋体" w:eastAsia="宋体" w:hAnsi="宋体"/>
          <w:sz w:val="24"/>
          <w:szCs w:val="24"/>
        </w:rPr>
        <w:t>“</w:t>
      </w:r>
      <w:r>
        <w:rPr>
          <w:rFonts w:ascii="宋体" w:eastAsia="宋体" w:hAnsi="宋体" w:hint="eastAsia"/>
          <w:sz w:val="24"/>
          <w:szCs w:val="24"/>
        </w:rPr>
        <w:t>双控</w:t>
      </w:r>
      <w:r>
        <w:rPr>
          <w:rFonts w:ascii="宋体" w:eastAsia="宋体" w:hAnsi="宋体"/>
          <w:sz w:val="24"/>
          <w:szCs w:val="24"/>
        </w:rPr>
        <w:t>”</w:t>
      </w:r>
      <w:r>
        <w:rPr>
          <w:rFonts w:ascii="宋体" w:eastAsia="宋体" w:hAnsi="宋体" w:hint="eastAsia"/>
          <w:sz w:val="24"/>
          <w:szCs w:val="24"/>
        </w:rPr>
        <w:t>奠定了工作基础；在《关于加快推进绿色建材产品认证及生产应用的通知》中，将</w:t>
      </w:r>
      <w:r>
        <w:rPr>
          <w:rFonts w:ascii="宋体" w:eastAsia="宋体" w:hAnsi="宋体"/>
          <w:sz w:val="24"/>
          <w:szCs w:val="24"/>
        </w:rPr>
        <w:t>51</w:t>
      </w:r>
      <w:r>
        <w:rPr>
          <w:rFonts w:ascii="宋体" w:eastAsia="宋体" w:hAnsi="宋体" w:hint="eastAsia"/>
          <w:sz w:val="24"/>
          <w:szCs w:val="24"/>
        </w:rPr>
        <w:t>种产品纳入绿色建材产品认证实施范围，碳排放指标作为与产品能源和环境相关的重要指标，是产品绿色化的重要表征，被纳入标准指标体系，本文件的制定将为烧结制品行业开展相关工作中所涉及碳排放核算提供依据，为政府部门制定减碳政策提供核算依据。</w:t>
      </w:r>
    </w:p>
    <w:p w14:paraId="6883E9C3" w14:textId="77777777" w:rsidR="00784CB6" w:rsidRDefault="00000000">
      <w:pPr>
        <w:pStyle w:val="1"/>
        <w:numPr>
          <w:ilvl w:val="0"/>
          <w:numId w:val="11"/>
        </w:numPr>
        <w:spacing w:beforeLines="50" w:before="120" w:afterLines="50" w:after="120" w:line="500" w:lineRule="exact"/>
        <w:rPr>
          <w:sz w:val="30"/>
          <w:szCs w:val="30"/>
        </w:rPr>
      </w:pPr>
      <w:r>
        <w:rPr>
          <w:rFonts w:hint="eastAsia"/>
          <w:sz w:val="30"/>
          <w:szCs w:val="30"/>
        </w:rPr>
        <w:t>采用国际标准和国外先进标准的情况</w:t>
      </w:r>
    </w:p>
    <w:p w14:paraId="27ABCAB6"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本标准未直接引用国际标准，但在编制过程中参考了以下国际标准或文献：（1）ISO 环境管理技术委员会（ISO/TC207）温室气体管理分技术委员会（SC7）已发布的《组织层面温室气体排放与清除的量化与报告》（ISO 14064-1 2006）；（2）IPCC 国家温室气体清单指南 2006。</w:t>
      </w:r>
    </w:p>
    <w:p w14:paraId="048C7F0A"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本标准计算原理与上述国际标准协调一致，通过引入烧结制品行业元素，更加适合中国国情和行业碳排放核算工作，与中国国内的政策实现有效衔接，同时具备科学性、</w:t>
      </w:r>
      <w:r>
        <w:rPr>
          <w:rFonts w:ascii="宋体" w:eastAsia="宋体" w:hAnsi="宋体" w:hint="eastAsia"/>
          <w:sz w:val="24"/>
          <w:szCs w:val="24"/>
        </w:rPr>
        <w:lastRenderedPageBreak/>
        <w:t>准确性、可操作性等特点。</w:t>
      </w:r>
    </w:p>
    <w:p w14:paraId="1CF24AB9" w14:textId="77777777" w:rsidR="00784CB6" w:rsidRDefault="00000000">
      <w:pPr>
        <w:pStyle w:val="1"/>
        <w:numPr>
          <w:ilvl w:val="0"/>
          <w:numId w:val="11"/>
        </w:numPr>
        <w:spacing w:beforeLines="50" w:before="120" w:afterLines="50" w:after="120" w:line="500" w:lineRule="exact"/>
        <w:rPr>
          <w:sz w:val="30"/>
          <w:szCs w:val="30"/>
        </w:rPr>
      </w:pPr>
      <w:r>
        <w:rPr>
          <w:sz w:val="30"/>
          <w:szCs w:val="30"/>
        </w:rPr>
        <w:t>与现行相关法律、法规、规章及相关标准，特别是强制性标准的协调性</w:t>
      </w:r>
    </w:p>
    <w:p w14:paraId="16295581"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与相关强制性标准、法律法规协调一致。</w:t>
      </w:r>
    </w:p>
    <w:p w14:paraId="4AC1F57A" w14:textId="77777777" w:rsidR="00784CB6" w:rsidRDefault="00784CB6"/>
    <w:p w14:paraId="0DF32B54" w14:textId="77777777" w:rsidR="00784CB6" w:rsidRDefault="00000000">
      <w:pPr>
        <w:pStyle w:val="affb"/>
        <w:numPr>
          <w:ilvl w:val="0"/>
          <w:numId w:val="11"/>
        </w:numPr>
        <w:spacing w:beforeLines="50" w:before="120" w:afterLines="50" w:after="120" w:line="400" w:lineRule="exact"/>
        <w:ind w:firstLineChars="0"/>
        <w:outlineLvl w:val="0"/>
        <w:rPr>
          <w:rFonts w:ascii="Times New Roman" w:hAnsi="Times New Roman"/>
          <w:b/>
          <w:bCs/>
          <w:sz w:val="28"/>
          <w:szCs w:val="28"/>
        </w:rPr>
      </w:pPr>
      <w:r>
        <w:rPr>
          <w:rFonts w:ascii="Times New Roman" w:hAnsi="Times New Roman"/>
          <w:b/>
          <w:bCs/>
          <w:sz w:val="28"/>
          <w:szCs w:val="28"/>
        </w:rPr>
        <w:t>重大分歧意见的处理经过和依据</w:t>
      </w:r>
    </w:p>
    <w:p w14:paraId="44D1FF78"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无。</w:t>
      </w:r>
    </w:p>
    <w:p w14:paraId="47428326" w14:textId="77777777" w:rsidR="00784CB6" w:rsidRDefault="00000000">
      <w:pPr>
        <w:pStyle w:val="affb"/>
        <w:numPr>
          <w:ilvl w:val="0"/>
          <w:numId w:val="11"/>
        </w:numPr>
        <w:spacing w:beforeLines="50" w:before="120" w:afterLines="50" w:after="120" w:line="400" w:lineRule="exact"/>
        <w:ind w:firstLineChars="0"/>
        <w:outlineLvl w:val="0"/>
        <w:rPr>
          <w:rFonts w:ascii="Times New Roman" w:hAnsi="Times New Roman"/>
          <w:b/>
          <w:bCs/>
          <w:sz w:val="28"/>
          <w:szCs w:val="28"/>
        </w:rPr>
      </w:pPr>
      <w:r>
        <w:rPr>
          <w:rFonts w:ascii="Times New Roman" w:hAnsi="Times New Roman"/>
          <w:b/>
          <w:bCs/>
          <w:sz w:val="28"/>
          <w:szCs w:val="28"/>
        </w:rPr>
        <w:t>标准性质的建议说明</w:t>
      </w:r>
    </w:p>
    <w:p w14:paraId="5DAE1980"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本文件作为GB/T 32151《温室气体排放核算与报告要求》的第X部分，建议以国家推荐性标准发布实施。</w:t>
      </w:r>
    </w:p>
    <w:p w14:paraId="7B153563" w14:textId="77777777" w:rsidR="00784CB6" w:rsidRDefault="00000000">
      <w:pPr>
        <w:pStyle w:val="affb"/>
        <w:numPr>
          <w:ilvl w:val="0"/>
          <w:numId w:val="11"/>
        </w:numPr>
        <w:spacing w:beforeLines="50" w:before="120" w:afterLines="50" w:after="120" w:line="400" w:lineRule="exact"/>
        <w:ind w:firstLineChars="0"/>
        <w:outlineLvl w:val="0"/>
        <w:rPr>
          <w:rFonts w:ascii="Times New Roman" w:hAnsi="Times New Roman"/>
          <w:b/>
          <w:bCs/>
          <w:sz w:val="28"/>
          <w:szCs w:val="28"/>
        </w:rPr>
      </w:pPr>
      <w:r>
        <w:rPr>
          <w:rFonts w:ascii="Times New Roman" w:hAnsi="Times New Roman"/>
          <w:b/>
          <w:bCs/>
          <w:sz w:val="28"/>
          <w:szCs w:val="28"/>
        </w:rPr>
        <w:t>贯彻标准的要求和措施建议</w:t>
      </w:r>
    </w:p>
    <w:p w14:paraId="77AE1AC3"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本文件的制定为烧结制品企业开展碳排放核算与报告工作提供技术依据。碳排放核算方法是开展碳工作的基础，建议在标准发布实施后，做好标准的宣贯工作，让标准使用部门正确理解标准内容，发挥标准作用。</w:t>
      </w:r>
    </w:p>
    <w:p w14:paraId="6D459828" w14:textId="77777777" w:rsidR="00784CB6" w:rsidRDefault="00000000">
      <w:pPr>
        <w:pStyle w:val="affb"/>
        <w:numPr>
          <w:ilvl w:val="0"/>
          <w:numId w:val="11"/>
        </w:numPr>
        <w:spacing w:beforeLines="50" w:before="120" w:afterLines="50" w:after="120" w:line="400" w:lineRule="exact"/>
        <w:ind w:firstLineChars="0"/>
        <w:outlineLvl w:val="0"/>
        <w:rPr>
          <w:rFonts w:ascii="Times New Roman" w:hAnsi="Times New Roman"/>
          <w:b/>
          <w:bCs/>
          <w:sz w:val="28"/>
          <w:szCs w:val="28"/>
        </w:rPr>
      </w:pPr>
      <w:r>
        <w:rPr>
          <w:rFonts w:ascii="Times New Roman" w:hAnsi="Times New Roman"/>
          <w:b/>
          <w:bCs/>
          <w:sz w:val="28"/>
          <w:szCs w:val="28"/>
        </w:rPr>
        <w:t>废止现行相关标准的建议</w:t>
      </w:r>
    </w:p>
    <w:p w14:paraId="21EB3756" w14:textId="77777777" w:rsidR="00784CB6" w:rsidRDefault="00000000">
      <w:pPr>
        <w:spacing w:line="500" w:lineRule="exact"/>
        <w:ind w:firstLineChars="200" w:firstLine="480"/>
        <w:rPr>
          <w:rFonts w:ascii="宋体" w:eastAsia="宋体" w:hAnsi="宋体"/>
          <w:sz w:val="24"/>
          <w:szCs w:val="24"/>
        </w:rPr>
      </w:pPr>
      <w:r>
        <w:rPr>
          <w:rFonts w:ascii="宋体" w:eastAsia="宋体" w:hAnsi="宋体" w:hint="eastAsia"/>
          <w:sz w:val="24"/>
          <w:szCs w:val="24"/>
        </w:rPr>
        <w:t>本文件为首次制定。</w:t>
      </w:r>
    </w:p>
    <w:p w14:paraId="57B69B02" w14:textId="77777777" w:rsidR="00784CB6" w:rsidRDefault="00000000">
      <w:pPr>
        <w:pStyle w:val="affb"/>
        <w:numPr>
          <w:ilvl w:val="0"/>
          <w:numId w:val="11"/>
        </w:numPr>
        <w:spacing w:beforeLines="50" w:before="120" w:afterLines="50" w:after="120" w:line="400" w:lineRule="exact"/>
        <w:ind w:firstLineChars="0"/>
        <w:outlineLvl w:val="0"/>
        <w:rPr>
          <w:rFonts w:ascii="Times New Roman" w:hAnsi="Times New Roman"/>
          <w:b/>
          <w:bCs/>
          <w:sz w:val="28"/>
          <w:szCs w:val="28"/>
        </w:rPr>
      </w:pPr>
      <w:r>
        <w:rPr>
          <w:rFonts w:ascii="Times New Roman" w:hAnsi="Times New Roman"/>
          <w:b/>
          <w:bCs/>
          <w:sz w:val="28"/>
          <w:szCs w:val="28"/>
        </w:rPr>
        <w:t>其它应予说明的事项。</w:t>
      </w:r>
    </w:p>
    <w:p w14:paraId="1365817B" w14:textId="1299E9DC" w:rsidR="00784CB6" w:rsidRDefault="00EB3616">
      <w:pPr>
        <w:spacing w:line="500" w:lineRule="exact"/>
        <w:ind w:firstLineChars="200" w:firstLine="480"/>
        <w:rPr>
          <w:rFonts w:ascii="宋体" w:eastAsia="宋体" w:hAnsi="宋体"/>
          <w:sz w:val="24"/>
          <w:szCs w:val="24"/>
        </w:rPr>
      </w:pPr>
      <w:r w:rsidRPr="00EB3616">
        <w:rPr>
          <w:rFonts w:ascii="宋体" w:eastAsia="宋体" w:hAnsi="宋体" w:cs="Times New Roman" w:hint="eastAsia"/>
          <w:sz w:val="24"/>
          <w:szCs w:val="24"/>
        </w:rPr>
        <w:t>为保持系列标准协调一致性，标准名称统一更改为</w:t>
      </w:r>
      <w:r>
        <w:rPr>
          <w:rFonts w:ascii="宋体" w:eastAsia="宋体" w:hAnsi="宋体" w:cs="Times New Roman" w:hint="eastAsia"/>
          <w:sz w:val="24"/>
          <w:szCs w:val="24"/>
        </w:rPr>
        <w:t>《温室气体</w:t>
      </w:r>
      <w:r>
        <w:rPr>
          <w:rFonts w:ascii="宋体" w:eastAsia="宋体" w:hAnsi="宋体" w:hint="eastAsia"/>
          <w:sz w:val="24"/>
          <w:szCs w:val="24"/>
        </w:rPr>
        <w:t>排放核算与报告要求 第X部分：烧结墙体屋面及道路用建筑材料生产企业</w:t>
      </w:r>
      <w:r>
        <w:rPr>
          <w:rFonts w:ascii="宋体" w:eastAsia="宋体" w:hAnsi="宋体" w:cs="Times New Roman" w:hint="eastAsia"/>
          <w:sz w:val="24"/>
          <w:szCs w:val="24"/>
        </w:rPr>
        <w:t>》。</w:t>
      </w:r>
    </w:p>
    <w:sectPr w:rsidR="00784CB6">
      <w:footerReference w:type="default" r:id="rId11"/>
      <w:pgSz w:w="11906" w:h="16838"/>
      <w:pgMar w:top="1474" w:right="1361" w:bottom="1418" w:left="1531" w:header="851" w:footer="992" w:gutter="0"/>
      <w:cols w:space="425"/>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FC199" w14:textId="77777777" w:rsidR="00F91AFA" w:rsidRDefault="00F91AFA">
      <w:r>
        <w:separator/>
      </w:r>
    </w:p>
  </w:endnote>
  <w:endnote w:type="continuationSeparator" w:id="0">
    <w:p w14:paraId="3044DA23" w14:textId="77777777" w:rsidR="00F91AFA" w:rsidRDefault="00F9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87844"/>
    </w:sdtPr>
    <w:sdtContent>
      <w:p w14:paraId="601FB12C" w14:textId="77777777" w:rsidR="00784CB6" w:rsidRDefault="00000000">
        <w:pPr>
          <w:pStyle w:val="afc"/>
          <w:jc w:val="center"/>
        </w:pPr>
        <w:r>
          <w:fldChar w:fldCharType="begin"/>
        </w:r>
        <w:r>
          <w:instrText xml:space="preserve"> PAGE   \* MERGEFORMAT </w:instrText>
        </w:r>
        <w:r>
          <w:fldChar w:fldCharType="separate"/>
        </w:r>
        <w:r>
          <w:rPr>
            <w:lang w:val="zh-CN"/>
          </w:rPr>
          <w:t>1</w:t>
        </w:r>
        <w:r>
          <w:rPr>
            <w:lang w:val="zh-CN"/>
          </w:rPr>
          <w:fldChar w:fldCharType="end"/>
        </w:r>
      </w:p>
    </w:sdtContent>
  </w:sdt>
  <w:p w14:paraId="3ADCDD2C" w14:textId="77777777" w:rsidR="00784CB6" w:rsidRDefault="00784CB6">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AAD42" w14:textId="77777777" w:rsidR="00784CB6" w:rsidRDefault="00784CB6">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44E30" w14:textId="77777777" w:rsidR="00F91AFA" w:rsidRDefault="00F91AFA">
      <w:r>
        <w:separator/>
      </w:r>
    </w:p>
  </w:footnote>
  <w:footnote w:type="continuationSeparator" w:id="0">
    <w:p w14:paraId="509680A2" w14:textId="77777777" w:rsidR="00F91AFA" w:rsidRDefault="00F91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367E9"/>
    <w:multiLevelType w:val="multilevel"/>
    <w:tmpl w:val="0AE367E9"/>
    <w:lvl w:ilvl="0">
      <w:start w:val="1"/>
      <w:numFmt w:val="none"/>
      <w:pStyle w:val="a"/>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1" w15:restartNumberingAfterBreak="0">
    <w:nsid w:val="16700BC5"/>
    <w:multiLevelType w:val="multilevel"/>
    <w:tmpl w:val="16700BC5"/>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567"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2"/>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3D733618"/>
    <w:multiLevelType w:val="multilevel"/>
    <w:tmpl w:val="3D733618"/>
    <w:lvl w:ilvl="0">
      <w:start w:val="1"/>
      <w:numFmt w:val="decimal"/>
      <w:pStyle w:val="a3"/>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4" w15:restartNumberingAfterBreak="0">
    <w:nsid w:val="44C50F90"/>
    <w:multiLevelType w:val="multilevel"/>
    <w:tmpl w:val="44C50F90"/>
    <w:lvl w:ilvl="0">
      <w:start w:val="1"/>
      <w:numFmt w:val="lowerLetter"/>
      <w:pStyle w:val="a4"/>
      <w:lvlText w:val="%1)"/>
      <w:lvlJc w:val="left"/>
      <w:pPr>
        <w:tabs>
          <w:tab w:val="left" w:pos="851"/>
        </w:tabs>
        <w:ind w:left="851" w:hanging="426"/>
      </w:pPr>
      <w:rPr>
        <w:rFonts w:ascii="宋体" w:eastAsia="宋体" w:hAnsi="Times New Roman" w:hint="eastAsia"/>
        <w:sz w:val="21"/>
      </w:rPr>
    </w:lvl>
    <w:lvl w:ilvl="1">
      <w:start w:val="1"/>
      <w:numFmt w:val="decimal"/>
      <w:pStyle w:val="a5"/>
      <w:lvlText w:val="%2)"/>
      <w:lvlJc w:val="left"/>
      <w:pPr>
        <w:tabs>
          <w:tab w:val="left" w:pos="1276"/>
        </w:tabs>
        <w:ind w:left="1276" w:hanging="425"/>
      </w:pPr>
      <w:rPr>
        <w:rFonts w:ascii="宋体" w:eastAsia="宋体" w:hAnsi="Times New Roman" w:hint="eastAsia"/>
        <w:sz w:val="21"/>
      </w:rPr>
    </w:lvl>
    <w:lvl w:ilvl="2">
      <w:start w:val="1"/>
      <w:numFmt w:val="decimal"/>
      <w:pStyle w:val="a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15:restartNumberingAfterBreak="0">
    <w:nsid w:val="482F69E1"/>
    <w:multiLevelType w:val="multilevel"/>
    <w:tmpl w:val="482F69E1"/>
    <w:lvl w:ilvl="0">
      <w:start w:val="1"/>
      <w:numFmt w:val="decimal"/>
      <w:pStyle w:val="a7"/>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557C2AF5"/>
    <w:multiLevelType w:val="multilevel"/>
    <w:tmpl w:val="557C2AF5"/>
    <w:lvl w:ilvl="0">
      <w:start w:val="1"/>
      <w:numFmt w:val="decimal"/>
      <w:pStyle w:val="a8"/>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7" w15:restartNumberingAfterBreak="0">
    <w:nsid w:val="65CE6F2A"/>
    <w:multiLevelType w:val="multilevel"/>
    <w:tmpl w:val="65CE6F2A"/>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pStyle w:val="a9"/>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6AFB64CC"/>
    <w:multiLevelType w:val="multilevel"/>
    <w:tmpl w:val="6AFB64C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CEA2025"/>
    <w:multiLevelType w:val="multilevel"/>
    <w:tmpl w:val="6CEA2025"/>
    <w:lvl w:ilvl="0">
      <w:start w:val="1"/>
      <w:numFmt w:val="none"/>
      <w:pStyle w:val="aa"/>
      <w:suff w:val="nothing"/>
      <w:lvlText w:val="%1"/>
      <w:lvlJc w:val="left"/>
      <w:pPr>
        <w:ind w:left="0" w:firstLine="0"/>
      </w:pPr>
      <w:rPr>
        <w:rFonts w:hint="eastAsia"/>
      </w:rPr>
    </w:lvl>
    <w:lvl w:ilvl="1">
      <w:start w:val="1"/>
      <w:numFmt w:val="decimal"/>
      <w:pStyle w:val="ab"/>
      <w:suff w:val="nothing"/>
      <w:lvlText w:val="%1%2　"/>
      <w:lvlJc w:val="left"/>
      <w:pPr>
        <w:ind w:left="0" w:firstLine="0"/>
      </w:pPr>
      <w:rPr>
        <w:rFonts w:ascii="黑体" w:eastAsia="黑体" w:hint="eastAsia"/>
        <w:b w:val="0"/>
        <w:i w:val="0"/>
        <w:sz w:val="21"/>
      </w:rPr>
    </w:lvl>
    <w:lvl w:ilvl="2">
      <w:start w:val="1"/>
      <w:numFmt w:val="decimal"/>
      <w:pStyle w:val="a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d"/>
      <w:suff w:val="nothing"/>
      <w:lvlText w:val="%1%2.%3.%4　"/>
      <w:lvlJc w:val="left"/>
      <w:pPr>
        <w:ind w:left="0" w:firstLine="0"/>
      </w:pPr>
      <w:rPr>
        <w:rFonts w:ascii="黑体" w:eastAsia="黑体" w:hint="eastAsia"/>
        <w:b w:val="0"/>
        <w:i w:val="0"/>
        <w:sz w:val="21"/>
      </w:rPr>
    </w:lvl>
    <w:lvl w:ilvl="4">
      <w:start w:val="1"/>
      <w:numFmt w:val="decimal"/>
      <w:pStyle w:val="ae"/>
      <w:suff w:val="nothing"/>
      <w:lvlText w:val="%1%2.%3.%4.%5　"/>
      <w:lvlJc w:val="left"/>
      <w:pPr>
        <w:ind w:left="0" w:firstLine="0"/>
      </w:pPr>
      <w:rPr>
        <w:rFonts w:ascii="黑体" w:eastAsia="黑体" w:hint="eastAsia"/>
        <w:b w:val="0"/>
        <w:i w:val="0"/>
        <w:sz w:val="21"/>
      </w:rPr>
    </w:lvl>
    <w:lvl w:ilvl="5">
      <w:start w:val="1"/>
      <w:numFmt w:val="decimal"/>
      <w:pStyle w:val="af"/>
      <w:suff w:val="nothing"/>
      <w:lvlText w:val="%1%2.%3.%4.%5.%6　"/>
      <w:lvlJc w:val="left"/>
      <w:pPr>
        <w:ind w:left="0" w:firstLine="0"/>
      </w:pPr>
      <w:rPr>
        <w:rFonts w:ascii="黑体" w:eastAsia="黑体" w:hint="eastAsia"/>
        <w:b w:val="0"/>
        <w:i w:val="0"/>
        <w:sz w:val="21"/>
      </w:rPr>
    </w:lvl>
    <w:lvl w:ilvl="6">
      <w:start w:val="1"/>
      <w:numFmt w:val="decimal"/>
      <w:pStyle w:val="a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6DBF04F4"/>
    <w:multiLevelType w:val="multilevel"/>
    <w:tmpl w:val="6DBF04F4"/>
    <w:lvl w:ilvl="0">
      <w:start w:val="1"/>
      <w:numFmt w:val="none"/>
      <w:pStyle w:val="a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1" w15:restartNumberingAfterBreak="0">
    <w:nsid w:val="6DF35F19"/>
    <w:multiLevelType w:val="multilevel"/>
    <w:tmpl w:val="6DF35F19"/>
    <w:lvl w:ilvl="0">
      <w:start w:val="1"/>
      <w:numFmt w:val="decimal"/>
      <w:pStyle w:val="a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num w:numId="1" w16cid:durableId="1593124693">
    <w:abstractNumId w:val="3"/>
  </w:num>
  <w:num w:numId="2" w16cid:durableId="1919099719">
    <w:abstractNumId w:val="2"/>
  </w:num>
  <w:num w:numId="3" w16cid:durableId="1816557442">
    <w:abstractNumId w:val="5"/>
  </w:num>
  <w:num w:numId="4" w16cid:durableId="438571049">
    <w:abstractNumId w:val="7"/>
  </w:num>
  <w:num w:numId="5" w16cid:durableId="1019891739">
    <w:abstractNumId w:val="0"/>
  </w:num>
  <w:num w:numId="6" w16cid:durableId="1183740338">
    <w:abstractNumId w:val="9"/>
  </w:num>
  <w:num w:numId="7" w16cid:durableId="171845836">
    <w:abstractNumId w:val="10"/>
  </w:num>
  <w:num w:numId="8" w16cid:durableId="866059851">
    <w:abstractNumId w:val="4"/>
  </w:num>
  <w:num w:numId="9" w16cid:durableId="1300765775">
    <w:abstractNumId w:val="6"/>
  </w:num>
  <w:num w:numId="10" w16cid:durableId="1492595523">
    <w:abstractNumId w:val="11"/>
  </w:num>
  <w:num w:numId="11" w16cid:durableId="481166352">
    <w:abstractNumId w:val="1"/>
  </w:num>
  <w:num w:numId="12" w16cid:durableId="34404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hlN2M0MThlMzUyZDcwNTdhYjQ3ZTE2ZDNmM2IwMjkifQ=="/>
  </w:docVars>
  <w:rsids>
    <w:rsidRoot w:val="00A44740"/>
    <w:rsid w:val="0000084F"/>
    <w:rsid w:val="00000E53"/>
    <w:rsid w:val="00001E90"/>
    <w:rsid w:val="000037B6"/>
    <w:rsid w:val="00003FD9"/>
    <w:rsid w:val="000054D0"/>
    <w:rsid w:val="00006DC9"/>
    <w:rsid w:val="000106B6"/>
    <w:rsid w:val="00011005"/>
    <w:rsid w:val="00011753"/>
    <w:rsid w:val="00012081"/>
    <w:rsid w:val="00013AED"/>
    <w:rsid w:val="000220A2"/>
    <w:rsid w:val="000233E9"/>
    <w:rsid w:val="00024AA9"/>
    <w:rsid w:val="00025CA4"/>
    <w:rsid w:val="00027A63"/>
    <w:rsid w:val="00031012"/>
    <w:rsid w:val="00032A31"/>
    <w:rsid w:val="000372FA"/>
    <w:rsid w:val="00041F38"/>
    <w:rsid w:val="000450FE"/>
    <w:rsid w:val="000460DF"/>
    <w:rsid w:val="0004792B"/>
    <w:rsid w:val="00047C28"/>
    <w:rsid w:val="00047E8A"/>
    <w:rsid w:val="00050CD3"/>
    <w:rsid w:val="00051761"/>
    <w:rsid w:val="00051F64"/>
    <w:rsid w:val="00052EC3"/>
    <w:rsid w:val="00052FF9"/>
    <w:rsid w:val="0005448A"/>
    <w:rsid w:val="00063047"/>
    <w:rsid w:val="00063311"/>
    <w:rsid w:val="00063486"/>
    <w:rsid w:val="00063615"/>
    <w:rsid w:val="00074010"/>
    <w:rsid w:val="0007549A"/>
    <w:rsid w:val="00075719"/>
    <w:rsid w:val="000774B8"/>
    <w:rsid w:val="00083A1B"/>
    <w:rsid w:val="0008727F"/>
    <w:rsid w:val="0008749B"/>
    <w:rsid w:val="00087E6F"/>
    <w:rsid w:val="0009019F"/>
    <w:rsid w:val="00090A47"/>
    <w:rsid w:val="0009118A"/>
    <w:rsid w:val="00096233"/>
    <w:rsid w:val="000979A9"/>
    <w:rsid w:val="000A3F19"/>
    <w:rsid w:val="000A4067"/>
    <w:rsid w:val="000A41AA"/>
    <w:rsid w:val="000A51A0"/>
    <w:rsid w:val="000A65F6"/>
    <w:rsid w:val="000A6EF1"/>
    <w:rsid w:val="000B0874"/>
    <w:rsid w:val="000B0FB6"/>
    <w:rsid w:val="000C1099"/>
    <w:rsid w:val="000C132A"/>
    <w:rsid w:val="000C191E"/>
    <w:rsid w:val="000C2F94"/>
    <w:rsid w:val="000C482D"/>
    <w:rsid w:val="000C4985"/>
    <w:rsid w:val="000C4B51"/>
    <w:rsid w:val="000C551F"/>
    <w:rsid w:val="000C5B0B"/>
    <w:rsid w:val="000C6A5F"/>
    <w:rsid w:val="000C70E5"/>
    <w:rsid w:val="000D3286"/>
    <w:rsid w:val="000D6EF4"/>
    <w:rsid w:val="000D7B52"/>
    <w:rsid w:val="000E1F24"/>
    <w:rsid w:val="000E2347"/>
    <w:rsid w:val="000E5C66"/>
    <w:rsid w:val="000E64F7"/>
    <w:rsid w:val="000F1C70"/>
    <w:rsid w:val="000F20D8"/>
    <w:rsid w:val="000F2834"/>
    <w:rsid w:val="000F3110"/>
    <w:rsid w:val="000F42AD"/>
    <w:rsid w:val="000F58BE"/>
    <w:rsid w:val="00100A22"/>
    <w:rsid w:val="001036EC"/>
    <w:rsid w:val="00104BB5"/>
    <w:rsid w:val="001056F0"/>
    <w:rsid w:val="00105F51"/>
    <w:rsid w:val="00105FBE"/>
    <w:rsid w:val="001064FA"/>
    <w:rsid w:val="001114BB"/>
    <w:rsid w:val="00111B4C"/>
    <w:rsid w:val="00116AE2"/>
    <w:rsid w:val="00117D56"/>
    <w:rsid w:val="00122305"/>
    <w:rsid w:val="001241C6"/>
    <w:rsid w:val="00126A08"/>
    <w:rsid w:val="001301E4"/>
    <w:rsid w:val="00130BD4"/>
    <w:rsid w:val="00130FB9"/>
    <w:rsid w:val="001331D3"/>
    <w:rsid w:val="00134649"/>
    <w:rsid w:val="001358D8"/>
    <w:rsid w:val="00136AF1"/>
    <w:rsid w:val="00137935"/>
    <w:rsid w:val="00141237"/>
    <w:rsid w:val="001416CC"/>
    <w:rsid w:val="0014357F"/>
    <w:rsid w:val="0015030B"/>
    <w:rsid w:val="001506B5"/>
    <w:rsid w:val="001518C2"/>
    <w:rsid w:val="001527FE"/>
    <w:rsid w:val="00152F04"/>
    <w:rsid w:val="00157139"/>
    <w:rsid w:val="00157535"/>
    <w:rsid w:val="00164BAD"/>
    <w:rsid w:val="00164F51"/>
    <w:rsid w:val="00167F1B"/>
    <w:rsid w:val="00170A3D"/>
    <w:rsid w:val="00170C67"/>
    <w:rsid w:val="001710C6"/>
    <w:rsid w:val="0017172D"/>
    <w:rsid w:val="00171BE7"/>
    <w:rsid w:val="00171E2E"/>
    <w:rsid w:val="00173745"/>
    <w:rsid w:val="00173F75"/>
    <w:rsid w:val="00175131"/>
    <w:rsid w:val="00177A5A"/>
    <w:rsid w:val="001804F2"/>
    <w:rsid w:val="00180822"/>
    <w:rsid w:val="00181873"/>
    <w:rsid w:val="00182F5A"/>
    <w:rsid w:val="00184B6C"/>
    <w:rsid w:val="001868EB"/>
    <w:rsid w:val="00193F12"/>
    <w:rsid w:val="00197160"/>
    <w:rsid w:val="001A0899"/>
    <w:rsid w:val="001A1510"/>
    <w:rsid w:val="001B1B96"/>
    <w:rsid w:val="001B3952"/>
    <w:rsid w:val="001B6039"/>
    <w:rsid w:val="001C0784"/>
    <w:rsid w:val="001C0C92"/>
    <w:rsid w:val="001C27DD"/>
    <w:rsid w:val="001C2B4A"/>
    <w:rsid w:val="001D626E"/>
    <w:rsid w:val="001D6A92"/>
    <w:rsid w:val="001E0133"/>
    <w:rsid w:val="001E3702"/>
    <w:rsid w:val="001E69CD"/>
    <w:rsid w:val="001E7A75"/>
    <w:rsid w:val="001F0259"/>
    <w:rsid w:val="001F2F31"/>
    <w:rsid w:val="001F4302"/>
    <w:rsid w:val="001F690B"/>
    <w:rsid w:val="001F79BA"/>
    <w:rsid w:val="0020068A"/>
    <w:rsid w:val="0020419D"/>
    <w:rsid w:val="00204244"/>
    <w:rsid w:val="00204334"/>
    <w:rsid w:val="00204DF1"/>
    <w:rsid w:val="002110B3"/>
    <w:rsid w:val="00213EC4"/>
    <w:rsid w:val="00216537"/>
    <w:rsid w:val="00216767"/>
    <w:rsid w:val="00217BF3"/>
    <w:rsid w:val="002217F3"/>
    <w:rsid w:val="002241CD"/>
    <w:rsid w:val="00224EEE"/>
    <w:rsid w:val="00226695"/>
    <w:rsid w:val="00233ED0"/>
    <w:rsid w:val="00234036"/>
    <w:rsid w:val="00236CCC"/>
    <w:rsid w:val="00237D75"/>
    <w:rsid w:val="002420CC"/>
    <w:rsid w:val="00243587"/>
    <w:rsid w:val="002438A5"/>
    <w:rsid w:val="00244255"/>
    <w:rsid w:val="00244CA3"/>
    <w:rsid w:val="002455F3"/>
    <w:rsid w:val="00245A3A"/>
    <w:rsid w:val="00246524"/>
    <w:rsid w:val="00254166"/>
    <w:rsid w:val="00255015"/>
    <w:rsid w:val="00255743"/>
    <w:rsid w:val="0026029B"/>
    <w:rsid w:val="00261FA1"/>
    <w:rsid w:val="00262857"/>
    <w:rsid w:val="00266080"/>
    <w:rsid w:val="00266F5B"/>
    <w:rsid w:val="002701E3"/>
    <w:rsid w:val="002718E9"/>
    <w:rsid w:val="002736A5"/>
    <w:rsid w:val="00275C49"/>
    <w:rsid w:val="00275CAF"/>
    <w:rsid w:val="00277441"/>
    <w:rsid w:val="00280D3C"/>
    <w:rsid w:val="00281065"/>
    <w:rsid w:val="002875F9"/>
    <w:rsid w:val="0029279D"/>
    <w:rsid w:val="00294DA2"/>
    <w:rsid w:val="002A4E5E"/>
    <w:rsid w:val="002A62F6"/>
    <w:rsid w:val="002A65F4"/>
    <w:rsid w:val="002A6B9C"/>
    <w:rsid w:val="002A745B"/>
    <w:rsid w:val="002B22F9"/>
    <w:rsid w:val="002B4006"/>
    <w:rsid w:val="002B467E"/>
    <w:rsid w:val="002B4FEC"/>
    <w:rsid w:val="002B5B9F"/>
    <w:rsid w:val="002B63D5"/>
    <w:rsid w:val="002B7C4D"/>
    <w:rsid w:val="002C080E"/>
    <w:rsid w:val="002C1D70"/>
    <w:rsid w:val="002C2709"/>
    <w:rsid w:val="002C78F8"/>
    <w:rsid w:val="002D135B"/>
    <w:rsid w:val="002D3615"/>
    <w:rsid w:val="002D47DD"/>
    <w:rsid w:val="002E06A9"/>
    <w:rsid w:val="002E2F18"/>
    <w:rsid w:val="002E5895"/>
    <w:rsid w:val="002E6CE9"/>
    <w:rsid w:val="002F3855"/>
    <w:rsid w:val="002F7FEF"/>
    <w:rsid w:val="00300D4D"/>
    <w:rsid w:val="00300FA3"/>
    <w:rsid w:val="00301BFD"/>
    <w:rsid w:val="0030322A"/>
    <w:rsid w:val="00306124"/>
    <w:rsid w:val="003068C1"/>
    <w:rsid w:val="00307DFC"/>
    <w:rsid w:val="003151A8"/>
    <w:rsid w:val="00315EE1"/>
    <w:rsid w:val="0031606D"/>
    <w:rsid w:val="00316B6B"/>
    <w:rsid w:val="00317871"/>
    <w:rsid w:val="00317952"/>
    <w:rsid w:val="0032099D"/>
    <w:rsid w:val="00342B2B"/>
    <w:rsid w:val="003433EB"/>
    <w:rsid w:val="0034465E"/>
    <w:rsid w:val="003448C3"/>
    <w:rsid w:val="0034724F"/>
    <w:rsid w:val="00347581"/>
    <w:rsid w:val="00347A13"/>
    <w:rsid w:val="003512F7"/>
    <w:rsid w:val="00351404"/>
    <w:rsid w:val="003544EF"/>
    <w:rsid w:val="00354588"/>
    <w:rsid w:val="00354997"/>
    <w:rsid w:val="00355535"/>
    <w:rsid w:val="003561FF"/>
    <w:rsid w:val="00357792"/>
    <w:rsid w:val="003617B2"/>
    <w:rsid w:val="003649B8"/>
    <w:rsid w:val="00367B5E"/>
    <w:rsid w:val="00372D33"/>
    <w:rsid w:val="00374951"/>
    <w:rsid w:val="0037496E"/>
    <w:rsid w:val="0037762F"/>
    <w:rsid w:val="00381022"/>
    <w:rsid w:val="003826F9"/>
    <w:rsid w:val="00383C67"/>
    <w:rsid w:val="00386232"/>
    <w:rsid w:val="00387060"/>
    <w:rsid w:val="003916D9"/>
    <w:rsid w:val="00393063"/>
    <w:rsid w:val="003A00AB"/>
    <w:rsid w:val="003A2BB7"/>
    <w:rsid w:val="003A35A1"/>
    <w:rsid w:val="003A5ABB"/>
    <w:rsid w:val="003A6A5C"/>
    <w:rsid w:val="003B061D"/>
    <w:rsid w:val="003B6D3D"/>
    <w:rsid w:val="003C16C6"/>
    <w:rsid w:val="003C2218"/>
    <w:rsid w:val="003C24F3"/>
    <w:rsid w:val="003C2815"/>
    <w:rsid w:val="003C2AB2"/>
    <w:rsid w:val="003C2E7B"/>
    <w:rsid w:val="003C30E6"/>
    <w:rsid w:val="003C4EF0"/>
    <w:rsid w:val="003D329D"/>
    <w:rsid w:val="003D54B3"/>
    <w:rsid w:val="003D5FBC"/>
    <w:rsid w:val="003D6EB9"/>
    <w:rsid w:val="003D764B"/>
    <w:rsid w:val="003D7B66"/>
    <w:rsid w:val="003D7DBD"/>
    <w:rsid w:val="003E1208"/>
    <w:rsid w:val="003E22FE"/>
    <w:rsid w:val="003E6BF7"/>
    <w:rsid w:val="003F036A"/>
    <w:rsid w:val="003F1FCF"/>
    <w:rsid w:val="003F2BA6"/>
    <w:rsid w:val="0040527A"/>
    <w:rsid w:val="004054DB"/>
    <w:rsid w:val="00407DB4"/>
    <w:rsid w:val="0041131D"/>
    <w:rsid w:val="004119AA"/>
    <w:rsid w:val="00412858"/>
    <w:rsid w:val="00414736"/>
    <w:rsid w:val="00414D3C"/>
    <w:rsid w:val="00416533"/>
    <w:rsid w:val="00421A5F"/>
    <w:rsid w:val="00421D46"/>
    <w:rsid w:val="00421E26"/>
    <w:rsid w:val="0042208E"/>
    <w:rsid w:val="004229E2"/>
    <w:rsid w:val="0042555D"/>
    <w:rsid w:val="004258FE"/>
    <w:rsid w:val="00425F04"/>
    <w:rsid w:val="00426D1D"/>
    <w:rsid w:val="00426EC2"/>
    <w:rsid w:val="00430C2D"/>
    <w:rsid w:val="00434818"/>
    <w:rsid w:val="00435B52"/>
    <w:rsid w:val="004374A3"/>
    <w:rsid w:val="00437A26"/>
    <w:rsid w:val="004403FC"/>
    <w:rsid w:val="0044148B"/>
    <w:rsid w:val="004457CE"/>
    <w:rsid w:val="00445882"/>
    <w:rsid w:val="00446BD4"/>
    <w:rsid w:val="00447CE9"/>
    <w:rsid w:val="004532BE"/>
    <w:rsid w:val="00462469"/>
    <w:rsid w:val="00462A09"/>
    <w:rsid w:val="00463860"/>
    <w:rsid w:val="00463A79"/>
    <w:rsid w:val="00463CD4"/>
    <w:rsid w:val="00470E3D"/>
    <w:rsid w:val="00472EA3"/>
    <w:rsid w:val="0047752F"/>
    <w:rsid w:val="0047779C"/>
    <w:rsid w:val="00481587"/>
    <w:rsid w:val="004860CC"/>
    <w:rsid w:val="00486146"/>
    <w:rsid w:val="004863C4"/>
    <w:rsid w:val="00486C38"/>
    <w:rsid w:val="00487001"/>
    <w:rsid w:val="00495E8D"/>
    <w:rsid w:val="0049639F"/>
    <w:rsid w:val="00497BA9"/>
    <w:rsid w:val="004A06DE"/>
    <w:rsid w:val="004A07A1"/>
    <w:rsid w:val="004A14F1"/>
    <w:rsid w:val="004A196C"/>
    <w:rsid w:val="004A417A"/>
    <w:rsid w:val="004A43D1"/>
    <w:rsid w:val="004A6B92"/>
    <w:rsid w:val="004A7ABE"/>
    <w:rsid w:val="004B03F8"/>
    <w:rsid w:val="004B5E24"/>
    <w:rsid w:val="004C268E"/>
    <w:rsid w:val="004C2C0D"/>
    <w:rsid w:val="004C3BB0"/>
    <w:rsid w:val="004C4965"/>
    <w:rsid w:val="004C5281"/>
    <w:rsid w:val="004C6B68"/>
    <w:rsid w:val="004C6D0E"/>
    <w:rsid w:val="004C7E5A"/>
    <w:rsid w:val="004D1CA7"/>
    <w:rsid w:val="004D40C3"/>
    <w:rsid w:val="004D5CA9"/>
    <w:rsid w:val="004D642D"/>
    <w:rsid w:val="004D7999"/>
    <w:rsid w:val="004D7AC0"/>
    <w:rsid w:val="004E200E"/>
    <w:rsid w:val="004E4A97"/>
    <w:rsid w:val="004E5196"/>
    <w:rsid w:val="004E58C6"/>
    <w:rsid w:val="004F05D4"/>
    <w:rsid w:val="004F0B11"/>
    <w:rsid w:val="004F11F9"/>
    <w:rsid w:val="004F1D12"/>
    <w:rsid w:val="004F2C38"/>
    <w:rsid w:val="004F2CA1"/>
    <w:rsid w:val="004F5910"/>
    <w:rsid w:val="00500860"/>
    <w:rsid w:val="00500927"/>
    <w:rsid w:val="00503F9C"/>
    <w:rsid w:val="00511693"/>
    <w:rsid w:val="005128DD"/>
    <w:rsid w:val="005131D4"/>
    <w:rsid w:val="00514813"/>
    <w:rsid w:val="00514856"/>
    <w:rsid w:val="0051634A"/>
    <w:rsid w:val="0051769A"/>
    <w:rsid w:val="00520660"/>
    <w:rsid w:val="00525BB1"/>
    <w:rsid w:val="0052731A"/>
    <w:rsid w:val="00527882"/>
    <w:rsid w:val="00533ED9"/>
    <w:rsid w:val="005346FC"/>
    <w:rsid w:val="00535928"/>
    <w:rsid w:val="00537CCF"/>
    <w:rsid w:val="005416EC"/>
    <w:rsid w:val="00545AD7"/>
    <w:rsid w:val="00546523"/>
    <w:rsid w:val="00553348"/>
    <w:rsid w:val="00553C14"/>
    <w:rsid w:val="00555D3A"/>
    <w:rsid w:val="00557153"/>
    <w:rsid w:val="0055795B"/>
    <w:rsid w:val="00561DDE"/>
    <w:rsid w:val="0056337F"/>
    <w:rsid w:val="0056512F"/>
    <w:rsid w:val="005661B2"/>
    <w:rsid w:val="00566E54"/>
    <w:rsid w:val="005715D0"/>
    <w:rsid w:val="00574AFB"/>
    <w:rsid w:val="0057552F"/>
    <w:rsid w:val="00583A54"/>
    <w:rsid w:val="00583A82"/>
    <w:rsid w:val="00584147"/>
    <w:rsid w:val="00585AD0"/>
    <w:rsid w:val="005869F6"/>
    <w:rsid w:val="00592074"/>
    <w:rsid w:val="005937C7"/>
    <w:rsid w:val="00594134"/>
    <w:rsid w:val="00597CEB"/>
    <w:rsid w:val="005A14E1"/>
    <w:rsid w:val="005A2E2D"/>
    <w:rsid w:val="005A385C"/>
    <w:rsid w:val="005A3A75"/>
    <w:rsid w:val="005A3BE5"/>
    <w:rsid w:val="005A61EB"/>
    <w:rsid w:val="005A7144"/>
    <w:rsid w:val="005B0248"/>
    <w:rsid w:val="005B0D5A"/>
    <w:rsid w:val="005B31A5"/>
    <w:rsid w:val="005C01C1"/>
    <w:rsid w:val="005C1AA6"/>
    <w:rsid w:val="005C353F"/>
    <w:rsid w:val="005C3D8B"/>
    <w:rsid w:val="005C7099"/>
    <w:rsid w:val="005C7678"/>
    <w:rsid w:val="005D0D82"/>
    <w:rsid w:val="005D1038"/>
    <w:rsid w:val="005D236F"/>
    <w:rsid w:val="005D6932"/>
    <w:rsid w:val="005E17F4"/>
    <w:rsid w:val="005E1829"/>
    <w:rsid w:val="005E1EBE"/>
    <w:rsid w:val="005E2321"/>
    <w:rsid w:val="005E29A8"/>
    <w:rsid w:val="005E2F4B"/>
    <w:rsid w:val="005E67AF"/>
    <w:rsid w:val="005E72FF"/>
    <w:rsid w:val="005F0460"/>
    <w:rsid w:val="005F1BEB"/>
    <w:rsid w:val="005F23ED"/>
    <w:rsid w:val="005F25BA"/>
    <w:rsid w:val="005F33A3"/>
    <w:rsid w:val="005F3682"/>
    <w:rsid w:val="00600DCD"/>
    <w:rsid w:val="0060222E"/>
    <w:rsid w:val="00604E2C"/>
    <w:rsid w:val="00605248"/>
    <w:rsid w:val="006058E2"/>
    <w:rsid w:val="00607953"/>
    <w:rsid w:val="0061268E"/>
    <w:rsid w:val="006165EC"/>
    <w:rsid w:val="00617366"/>
    <w:rsid w:val="006202C3"/>
    <w:rsid w:val="00622538"/>
    <w:rsid w:val="00622ADE"/>
    <w:rsid w:val="006247DD"/>
    <w:rsid w:val="00625D4E"/>
    <w:rsid w:val="00625D58"/>
    <w:rsid w:val="006263C3"/>
    <w:rsid w:val="0063053D"/>
    <w:rsid w:val="006307AA"/>
    <w:rsid w:val="00635F14"/>
    <w:rsid w:val="00637EA6"/>
    <w:rsid w:val="00641BAF"/>
    <w:rsid w:val="0064377A"/>
    <w:rsid w:val="00644DAA"/>
    <w:rsid w:val="00647896"/>
    <w:rsid w:val="006503B3"/>
    <w:rsid w:val="00650CA0"/>
    <w:rsid w:val="00653CAC"/>
    <w:rsid w:val="0065592C"/>
    <w:rsid w:val="0065597E"/>
    <w:rsid w:val="00655F44"/>
    <w:rsid w:val="00656291"/>
    <w:rsid w:val="00660AE3"/>
    <w:rsid w:val="00661DED"/>
    <w:rsid w:val="006658D6"/>
    <w:rsid w:val="00667DEC"/>
    <w:rsid w:val="00671326"/>
    <w:rsid w:val="0067602F"/>
    <w:rsid w:val="006810A8"/>
    <w:rsid w:val="0068145C"/>
    <w:rsid w:val="00682601"/>
    <w:rsid w:val="00683F9C"/>
    <w:rsid w:val="006859A7"/>
    <w:rsid w:val="00685AC5"/>
    <w:rsid w:val="006869E1"/>
    <w:rsid w:val="00686CF8"/>
    <w:rsid w:val="00690922"/>
    <w:rsid w:val="00693210"/>
    <w:rsid w:val="006A236B"/>
    <w:rsid w:val="006A4448"/>
    <w:rsid w:val="006A5A4B"/>
    <w:rsid w:val="006B367C"/>
    <w:rsid w:val="006B631D"/>
    <w:rsid w:val="006B70A5"/>
    <w:rsid w:val="006B792C"/>
    <w:rsid w:val="006B7CF5"/>
    <w:rsid w:val="006C08C1"/>
    <w:rsid w:val="006C1CA9"/>
    <w:rsid w:val="006C79E3"/>
    <w:rsid w:val="006D1065"/>
    <w:rsid w:val="006D19B6"/>
    <w:rsid w:val="006D1A06"/>
    <w:rsid w:val="006D3DD8"/>
    <w:rsid w:val="006D43B0"/>
    <w:rsid w:val="006D5D4C"/>
    <w:rsid w:val="006D641A"/>
    <w:rsid w:val="006D74F9"/>
    <w:rsid w:val="006E31AE"/>
    <w:rsid w:val="006E48BC"/>
    <w:rsid w:val="006E4FDC"/>
    <w:rsid w:val="006F1CFD"/>
    <w:rsid w:val="006F2669"/>
    <w:rsid w:val="006F2CA2"/>
    <w:rsid w:val="006F4BA8"/>
    <w:rsid w:val="006F7A41"/>
    <w:rsid w:val="007112DD"/>
    <w:rsid w:val="00711B94"/>
    <w:rsid w:val="00711D72"/>
    <w:rsid w:val="0071475D"/>
    <w:rsid w:val="00714901"/>
    <w:rsid w:val="007152F3"/>
    <w:rsid w:val="00716AA3"/>
    <w:rsid w:val="00720178"/>
    <w:rsid w:val="00724915"/>
    <w:rsid w:val="007263BE"/>
    <w:rsid w:val="00727247"/>
    <w:rsid w:val="0072788C"/>
    <w:rsid w:val="0073263D"/>
    <w:rsid w:val="00734D0B"/>
    <w:rsid w:val="00735195"/>
    <w:rsid w:val="00737EC9"/>
    <w:rsid w:val="00740D63"/>
    <w:rsid w:val="0074202B"/>
    <w:rsid w:val="00743588"/>
    <w:rsid w:val="007438E9"/>
    <w:rsid w:val="00745B71"/>
    <w:rsid w:val="0074728A"/>
    <w:rsid w:val="00755EE6"/>
    <w:rsid w:val="0075618A"/>
    <w:rsid w:val="00763E9A"/>
    <w:rsid w:val="0076718F"/>
    <w:rsid w:val="007743C3"/>
    <w:rsid w:val="007746A7"/>
    <w:rsid w:val="0078068F"/>
    <w:rsid w:val="00781957"/>
    <w:rsid w:val="007848D2"/>
    <w:rsid w:val="00784CB6"/>
    <w:rsid w:val="0079104B"/>
    <w:rsid w:val="00791344"/>
    <w:rsid w:val="007927D7"/>
    <w:rsid w:val="00796747"/>
    <w:rsid w:val="00796783"/>
    <w:rsid w:val="007A6840"/>
    <w:rsid w:val="007B3EA3"/>
    <w:rsid w:val="007B4F61"/>
    <w:rsid w:val="007B795A"/>
    <w:rsid w:val="007C1542"/>
    <w:rsid w:val="007C358F"/>
    <w:rsid w:val="007C508F"/>
    <w:rsid w:val="007C588E"/>
    <w:rsid w:val="007C5A35"/>
    <w:rsid w:val="007D2826"/>
    <w:rsid w:val="007D3AAB"/>
    <w:rsid w:val="007D43A0"/>
    <w:rsid w:val="007D60DA"/>
    <w:rsid w:val="007E1586"/>
    <w:rsid w:val="007E2BAE"/>
    <w:rsid w:val="007E4C73"/>
    <w:rsid w:val="007E526A"/>
    <w:rsid w:val="007E535C"/>
    <w:rsid w:val="007E6BB9"/>
    <w:rsid w:val="007E7A7C"/>
    <w:rsid w:val="007F05F9"/>
    <w:rsid w:val="007F50C4"/>
    <w:rsid w:val="007F5362"/>
    <w:rsid w:val="007F634E"/>
    <w:rsid w:val="007F77A9"/>
    <w:rsid w:val="00802642"/>
    <w:rsid w:val="00803857"/>
    <w:rsid w:val="008064C0"/>
    <w:rsid w:val="008069EF"/>
    <w:rsid w:val="00811465"/>
    <w:rsid w:val="00812409"/>
    <w:rsid w:val="008147FF"/>
    <w:rsid w:val="008218DC"/>
    <w:rsid w:val="00821C88"/>
    <w:rsid w:val="00823152"/>
    <w:rsid w:val="0082498D"/>
    <w:rsid w:val="0082569E"/>
    <w:rsid w:val="00825AE4"/>
    <w:rsid w:val="0082657C"/>
    <w:rsid w:val="00830ED9"/>
    <w:rsid w:val="00832666"/>
    <w:rsid w:val="0083266D"/>
    <w:rsid w:val="00837CBD"/>
    <w:rsid w:val="00837FDD"/>
    <w:rsid w:val="00842475"/>
    <w:rsid w:val="0084268D"/>
    <w:rsid w:val="008447BF"/>
    <w:rsid w:val="00845E7B"/>
    <w:rsid w:val="008505AE"/>
    <w:rsid w:val="00853F1F"/>
    <w:rsid w:val="008543EF"/>
    <w:rsid w:val="00854741"/>
    <w:rsid w:val="008558A7"/>
    <w:rsid w:val="00857094"/>
    <w:rsid w:val="0086012F"/>
    <w:rsid w:val="0086057E"/>
    <w:rsid w:val="00861192"/>
    <w:rsid w:val="0086339A"/>
    <w:rsid w:val="00867FBF"/>
    <w:rsid w:val="0087175A"/>
    <w:rsid w:val="00872923"/>
    <w:rsid w:val="00872AA8"/>
    <w:rsid w:val="00875CC6"/>
    <w:rsid w:val="008770C7"/>
    <w:rsid w:val="0088039C"/>
    <w:rsid w:val="00881CB3"/>
    <w:rsid w:val="00882153"/>
    <w:rsid w:val="00882B86"/>
    <w:rsid w:val="00882BE8"/>
    <w:rsid w:val="00883B47"/>
    <w:rsid w:val="00884C00"/>
    <w:rsid w:val="0088536A"/>
    <w:rsid w:val="00893047"/>
    <w:rsid w:val="00893721"/>
    <w:rsid w:val="00893AD9"/>
    <w:rsid w:val="00893F0D"/>
    <w:rsid w:val="00895119"/>
    <w:rsid w:val="00896E95"/>
    <w:rsid w:val="008A364D"/>
    <w:rsid w:val="008A5C49"/>
    <w:rsid w:val="008B0B39"/>
    <w:rsid w:val="008B185B"/>
    <w:rsid w:val="008B5F58"/>
    <w:rsid w:val="008C3785"/>
    <w:rsid w:val="008C3C80"/>
    <w:rsid w:val="008C64BB"/>
    <w:rsid w:val="008D2194"/>
    <w:rsid w:val="008D391B"/>
    <w:rsid w:val="008D49BB"/>
    <w:rsid w:val="008D5F84"/>
    <w:rsid w:val="008D6332"/>
    <w:rsid w:val="008D7644"/>
    <w:rsid w:val="008D7C42"/>
    <w:rsid w:val="008E32E7"/>
    <w:rsid w:val="008E4178"/>
    <w:rsid w:val="008E477E"/>
    <w:rsid w:val="008E63AE"/>
    <w:rsid w:val="008E7505"/>
    <w:rsid w:val="008F364E"/>
    <w:rsid w:val="008F58C0"/>
    <w:rsid w:val="008F7517"/>
    <w:rsid w:val="0090272A"/>
    <w:rsid w:val="009036CE"/>
    <w:rsid w:val="009047F4"/>
    <w:rsid w:val="00905A74"/>
    <w:rsid w:val="009068A3"/>
    <w:rsid w:val="00907748"/>
    <w:rsid w:val="009077CE"/>
    <w:rsid w:val="00920CF0"/>
    <w:rsid w:val="00922C1A"/>
    <w:rsid w:val="00925BA6"/>
    <w:rsid w:val="009304EF"/>
    <w:rsid w:val="009326DC"/>
    <w:rsid w:val="00933459"/>
    <w:rsid w:val="00933AA6"/>
    <w:rsid w:val="0093467B"/>
    <w:rsid w:val="00934EEA"/>
    <w:rsid w:val="00935C9B"/>
    <w:rsid w:val="00942C60"/>
    <w:rsid w:val="009433E9"/>
    <w:rsid w:val="00945D9B"/>
    <w:rsid w:val="009506BF"/>
    <w:rsid w:val="009524C3"/>
    <w:rsid w:val="00956F9A"/>
    <w:rsid w:val="00957512"/>
    <w:rsid w:val="00962BD8"/>
    <w:rsid w:val="009631CC"/>
    <w:rsid w:val="00963AE9"/>
    <w:rsid w:val="009716DF"/>
    <w:rsid w:val="009724C3"/>
    <w:rsid w:val="00972E03"/>
    <w:rsid w:val="00973182"/>
    <w:rsid w:val="00983B5A"/>
    <w:rsid w:val="00985900"/>
    <w:rsid w:val="00986A6A"/>
    <w:rsid w:val="00987AE2"/>
    <w:rsid w:val="00993A25"/>
    <w:rsid w:val="00995D66"/>
    <w:rsid w:val="009A0506"/>
    <w:rsid w:val="009A4C9A"/>
    <w:rsid w:val="009A545D"/>
    <w:rsid w:val="009A6207"/>
    <w:rsid w:val="009B11B4"/>
    <w:rsid w:val="009B3641"/>
    <w:rsid w:val="009B5418"/>
    <w:rsid w:val="009B6E8B"/>
    <w:rsid w:val="009B7844"/>
    <w:rsid w:val="009C25C7"/>
    <w:rsid w:val="009C4561"/>
    <w:rsid w:val="009C4B56"/>
    <w:rsid w:val="009C784D"/>
    <w:rsid w:val="009C7BFC"/>
    <w:rsid w:val="009D08B3"/>
    <w:rsid w:val="009D28D4"/>
    <w:rsid w:val="009D566A"/>
    <w:rsid w:val="009E099F"/>
    <w:rsid w:val="009E2264"/>
    <w:rsid w:val="009E2AEE"/>
    <w:rsid w:val="009E7A27"/>
    <w:rsid w:val="009E7C0C"/>
    <w:rsid w:val="009F0967"/>
    <w:rsid w:val="009F1A0E"/>
    <w:rsid w:val="009F1C48"/>
    <w:rsid w:val="009F5E2A"/>
    <w:rsid w:val="009F737A"/>
    <w:rsid w:val="00A015E9"/>
    <w:rsid w:val="00A02598"/>
    <w:rsid w:val="00A036AE"/>
    <w:rsid w:val="00A04653"/>
    <w:rsid w:val="00A05541"/>
    <w:rsid w:val="00A129ED"/>
    <w:rsid w:val="00A13BAF"/>
    <w:rsid w:val="00A13CA9"/>
    <w:rsid w:val="00A25121"/>
    <w:rsid w:val="00A25FE1"/>
    <w:rsid w:val="00A26F4F"/>
    <w:rsid w:val="00A31C7A"/>
    <w:rsid w:val="00A31CAC"/>
    <w:rsid w:val="00A34611"/>
    <w:rsid w:val="00A353B1"/>
    <w:rsid w:val="00A35BE1"/>
    <w:rsid w:val="00A41351"/>
    <w:rsid w:val="00A43807"/>
    <w:rsid w:val="00A44740"/>
    <w:rsid w:val="00A5012D"/>
    <w:rsid w:val="00A51695"/>
    <w:rsid w:val="00A53333"/>
    <w:rsid w:val="00A54AEC"/>
    <w:rsid w:val="00A70C3A"/>
    <w:rsid w:val="00A72479"/>
    <w:rsid w:val="00A86693"/>
    <w:rsid w:val="00A86965"/>
    <w:rsid w:val="00A86A1D"/>
    <w:rsid w:val="00A91621"/>
    <w:rsid w:val="00A91A9C"/>
    <w:rsid w:val="00A91B0F"/>
    <w:rsid w:val="00A91D15"/>
    <w:rsid w:val="00A937EF"/>
    <w:rsid w:val="00A94795"/>
    <w:rsid w:val="00A94ED4"/>
    <w:rsid w:val="00A96687"/>
    <w:rsid w:val="00AA1306"/>
    <w:rsid w:val="00AA3045"/>
    <w:rsid w:val="00AA4741"/>
    <w:rsid w:val="00AB1AB8"/>
    <w:rsid w:val="00AB7779"/>
    <w:rsid w:val="00AC4137"/>
    <w:rsid w:val="00AC4916"/>
    <w:rsid w:val="00AC60F5"/>
    <w:rsid w:val="00AD024D"/>
    <w:rsid w:val="00AD160C"/>
    <w:rsid w:val="00AD2A47"/>
    <w:rsid w:val="00AD385C"/>
    <w:rsid w:val="00AD561C"/>
    <w:rsid w:val="00AD58F7"/>
    <w:rsid w:val="00AD5DBA"/>
    <w:rsid w:val="00AD6A67"/>
    <w:rsid w:val="00AE3B44"/>
    <w:rsid w:val="00AE7D83"/>
    <w:rsid w:val="00AF0AC7"/>
    <w:rsid w:val="00AF0F17"/>
    <w:rsid w:val="00AF1D04"/>
    <w:rsid w:val="00AF1F7D"/>
    <w:rsid w:val="00AF7935"/>
    <w:rsid w:val="00B0057E"/>
    <w:rsid w:val="00B005E7"/>
    <w:rsid w:val="00B008CF"/>
    <w:rsid w:val="00B00F5B"/>
    <w:rsid w:val="00B022D7"/>
    <w:rsid w:val="00B03D03"/>
    <w:rsid w:val="00B06A8B"/>
    <w:rsid w:val="00B07142"/>
    <w:rsid w:val="00B074F3"/>
    <w:rsid w:val="00B1149B"/>
    <w:rsid w:val="00B11DAE"/>
    <w:rsid w:val="00B145DF"/>
    <w:rsid w:val="00B1473F"/>
    <w:rsid w:val="00B20631"/>
    <w:rsid w:val="00B20D00"/>
    <w:rsid w:val="00B223D7"/>
    <w:rsid w:val="00B224AF"/>
    <w:rsid w:val="00B3385A"/>
    <w:rsid w:val="00B342B9"/>
    <w:rsid w:val="00B350F1"/>
    <w:rsid w:val="00B3527B"/>
    <w:rsid w:val="00B42F60"/>
    <w:rsid w:val="00B446AC"/>
    <w:rsid w:val="00B44822"/>
    <w:rsid w:val="00B45D2D"/>
    <w:rsid w:val="00B461C3"/>
    <w:rsid w:val="00B475E5"/>
    <w:rsid w:val="00B5006C"/>
    <w:rsid w:val="00B52786"/>
    <w:rsid w:val="00B56E3D"/>
    <w:rsid w:val="00B600CF"/>
    <w:rsid w:val="00B60166"/>
    <w:rsid w:val="00B61856"/>
    <w:rsid w:val="00B64755"/>
    <w:rsid w:val="00B64C2F"/>
    <w:rsid w:val="00B64F17"/>
    <w:rsid w:val="00B677B5"/>
    <w:rsid w:val="00B67C1A"/>
    <w:rsid w:val="00B67FF4"/>
    <w:rsid w:val="00B7327F"/>
    <w:rsid w:val="00B739DF"/>
    <w:rsid w:val="00B74231"/>
    <w:rsid w:val="00B75047"/>
    <w:rsid w:val="00B777CE"/>
    <w:rsid w:val="00B801B8"/>
    <w:rsid w:val="00B815C3"/>
    <w:rsid w:val="00B832C3"/>
    <w:rsid w:val="00B87B54"/>
    <w:rsid w:val="00B9169D"/>
    <w:rsid w:val="00B918D3"/>
    <w:rsid w:val="00B93D33"/>
    <w:rsid w:val="00B94E15"/>
    <w:rsid w:val="00B963C8"/>
    <w:rsid w:val="00BA0352"/>
    <w:rsid w:val="00BA38D2"/>
    <w:rsid w:val="00BA66D5"/>
    <w:rsid w:val="00BB24BE"/>
    <w:rsid w:val="00BB3F09"/>
    <w:rsid w:val="00BB497D"/>
    <w:rsid w:val="00BC071F"/>
    <w:rsid w:val="00BC38C2"/>
    <w:rsid w:val="00BC518D"/>
    <w:rsid w:val="00BC5B57"/>
    <w:rsid w:val="00BC6932"/>
    <w:rsid w:val="00BD2533"/>
    <w:rsid w:val="00BD25A3"/>
    <w:rsid w:val="00BD38EA"/>
    <w:rsid w:val="00BD44CF"/>
    <w:rsid w:val="00BD5EBA"/>
    <w:rsid w:val="00BE1FBA"/>
    <w:rsid w:val="00BE2F2E"/>
    <w:rsid w:val="00BE32AE"/>
    <w:rsid w:val="00BE5A13"/>
    <w:rsid w:val="00BF0065"/>
    <w:rsid w:val="00BF26C0"/>
    <w:rsid w:val="00C01983"/>
    <w:rsid w:val="00C03B0D"/>
    <w:rsid w:val="00C05D00"/>
    <w:rsid w:val="00C06345"/>
    <w:rsid w:val="00C10286"/>
    <w:rsid w:val="00C13CA7"/>
    <w:rsid w:val="00C15609"/>
    <w:rsid w:val="00C21472"/>
    <w:rsid w:val="00C23E47"/>
    <w:rsid w:val="00C24A62"/>
    <w:rsid w:val="00C252D6"/>
    <w:rsid w:val="00C30148"/>
    <w:rsid w:val="00C31AC8"/>
    <w:rsid w:val="00C336D9"/>
    <w:rsid w:val="00C415E2"/>
    <w:rsid w:val="00C417F2"/>
    <w:rsid w:val="00C43B30"/>
    <w:rsid w:val="00C4698F"/>
    <w:rsid w:val="00C527EC"/>
    <w:rsid w:val="00C53B7C"/>
    <w:rsid w:val="00C61F8B"/>
    <w:rsid w:val="00C64AB9"/>
    <w:rsid w:val="00C72486"/>
    <w:rsid w:val="00C74C75"/>
    <w:rsid w:val="00C76070"/>
    <w:rsid w:val="00C8083E"/>
    <w:rsid w:val="00C808BA"/>
    <w:rsid w:val="00C80A82"/>
    <w:rsid w:val="00C81D5B"/>
    <w:rsid w:val="00C8242E"/>
    <w:rsid w:val="00C828E8"/>
    <w:rsid w:val="00C8546F"/>
    <w:rsid w:val="00C9380D"/>
    <w:rsid w:val="00C93F57"/>
    <w:rsid w:val="00C96E24"/>
    <w:rsid w:val="00C97503"/>
    <w:rsid w:val="00CA0321"/>
    <w:rsid w:val="00CA1F63"/>
    <w:rsid w:val="00CA3085"/>
    <w:rsid w:val="00CA4499"/>
    <w:rsid w:val="00CA4741"/>
    <w:rsid w:val="00CB156E"/>
    <w:rsid w:val="00CB6037"/>
    <w:rsid w:val="00CC1BE2"/>
    <w:rsid w:val="00CC3589"/>
    <w:rsid w:val="00CC4A0C"/>
    <w:rsid w:val="00CC5B62"/>
    <w:rsid w:val="00CD03FA"/>
    <w:rsid w:val="00CD051C"/>
    <w:rsid w:val="00CD19C1"/>
    <w:rsid w:val="00CD2223"/>
    <w:rsid w:val="00CD2474"/>
    <w:rsid w:val="00CD258B"/>
    <w:rsid w:val="00CD38C7"/>
    <w:rsid w:val="00CD63AA"/>
    <w:rsid w:val="00CD6DCA"/>
    <w:rsid w:val="00CE02C2"/>
    <w:rsid w:val="00CE02F1"/>
    <w:rsid w:val="00CE1C13"/>
    <w:rsid w:val="00CE536A"/>
    <w:rsid w:val="00CE5370"/>
    <w:rsid w:val="00CE5846"/>
    <w:rsid w:val="00CE7668"/>
    <w:rsid w:val="00CF1EBD"/>
    <w:rsid w:val="00D02FCB"/>
    <w:rsid w:val="00D04BA5"/>
    <w:rsid w:val="00D06DC8"/>
    <w:rsid w:val="00D14932"/>
    <w:rsid w:val="00D16A1A"/>
    <w:rsid w:val="00D20065"/>
    <w:rsid w:val="00D2165E"/>
    <w:rsid w:val="00D23CAF"/>
    <w:rsid w:val="00D25008"/>
    <w:rsid w:val="00D31BDA"/>
    <w:rsid w:val="00D32F1D"/>
    <w:rsid w:val="00D33FE2"/>
    <w:rsid w:val="00D35DA6"/>
    <w:rsid w:val="00D372C5"/>
    <w:rsid w:val="00D372E6"/>
    <w:rsid w:val="00D41A5B"/>
    <w:rsid w:val="00D4258E"/>
    <w:rsid w:val="00D42B55"/>
    <w:rsid w:val="00D4647E"/>
    <w:rsid w:val="00D46DB5"/>
    <w:rsid w:val="00D477AE"/>
    <w:rsid w:val="00D47923"/>
    <w:rsid w:val="00D51C87"/>
    <w:rsid w:val="00D51F30"/>
    <w:rsid w:val="00D52737"/>
    <w:rsid w:val="00D5675C"/>
    <w:rsid w:val="00D57496"/>
    <w:rsid w:val="00D62C9C"/>
    <w:rsid w:val="00D62F66"/>
    <w:rsid w:val="00D63304"/>
    <w:rsid w:val="00D65FE5"/>
    <w:rsid w:val="00D70E9B"/>
    <w:rsid w:val="00D70F3D"/>
    <w:rsid w:val="00D71710"/>
    <w:rsid w:val="00D773B4"/>
    <w:rsid w:val="00D8084F"/>
    <w:rsid w:val="00D819EB"/>
    <w:rsid w:val="00D82953"/>
    <w:rsid w:val="00D85B2E"/>
    <w:rsid w:val="00D86431"/>
    <w:rsid w:val="00D9161E"/>
    <w:rsid w:val="00D920F7"/>
    <w:rsid w:val="00D9587C"/>
    <w:rsid w:val="00D9681A"/>
    <w:rsid w:val="00DA188B"/>
    <w:rsid w:val="00DA1B30"/>
    <w:rsid w:val="00DA311D"/>
    <w:rsid w:val="00DA39AD"/>
    <w:rsid w:val="00DA4EE1"/>
    <w:rsid w:val="00DA6133"/>
    <w:rsid w:val="00DA7950"/>
    <w:rsid w:val="00DB052D"/>
    <w:rsid w:val="00DB07C9"/>
    <w:rsid w:val="00DB5CF9"/>
    <w:rsid w:val="00DC287B"/>
    <w:rsid w:val="00DD18D2"/>
    <w:rsid w:val="00DD4232"/>
    <w:rsid w:val="00DD4CF4"/>
    <w:rsid w:val="00DD5A31"/>
    <w:rsid w:val="00DD5F6B"/>
    <w:rsid w:val="00DD6830"/>
    <w:rsid w:val="00DD6FF9"/>
    <w:rsid w:val="00DE11F2"/>
    <w:rsid w:val="00DE183B"/>
    <w:rsid w:val="00DE205A"/>
    <w:rsid w:val="00DE2346"/>
    <w:rsid w:val="00DE3135"/>
    <w:rsid w:val="00DE56BD"/>
    <w:rsid w:val="00DE7A11"/>
    <w:rsid w:val="00DF090A"/>
    <w:rsid w:val="00DF2DCE"/>
    <w:rsid w:val="00DF6381"/>
    <w:rsid w:val="00E002E4"/>
    <w:rsid w:val="00E00983"/>
    <w:rsid w:val="00E01D87"/>
    <w:rsid w:val="00E06370"/>
    <w:rsid w:val="00E0797B"/>
    <w:rsid w:val="00E1032D"/>
    <w:rsid w:val="00E1038F"/>
    <w:rsid w:val="00E20D86"/>
    <w:rsid w:val="00E236CE"/>
    <w:rsid w:val="00E2490F"/>
    <w:rsid w:val="00E25CC8"/>
    <w:rsid w:val="00E303FB"/>
    <w:rsid w:val="00E30DA5"/>
    <w:rsid w:val="00E314D4"/>
    <w:rsid w:val="00E319BE"/>
    <w:rsid w:val="00E35C71"/>
    <w:rsid w:val="00E403C5"/>
    <w:rsid w:val="00E40F6D"/>
    <w:rsid w:val="00E42308"/>
    <w:rsid w:val="00E428CD"/>
    <w:rsid w:val="00E45599"/>
    <w:rsid w:val="00E45FF4"/>
    <w:rsid w:val="00E470B2"/>
    <w:rsid w:val="00E47993"/>
    <w:rsid w:val="00E501F7"/>
    <w:rsid w:val="00E51F5E"/>
    <w:rsid w:val="00E526A9"/>
    <w:rsid w:val="00E534B7"/>
    <w:rsid w:val="00E53BB6"/>
    <w:rsid w:val="00E542D9"/>
    <w:rsid w:val="00E5459A"/>
    <w:rsid w:val="00E546A8"/>
    <w:rsid w:val="00E55FD0"/>
    <w:rsid w:val="00E57E9B"/>
    <w:rsid w:val="00E62380"/>
    <w:rsid w:val="00E67FB4"/>
    <w:rsid w:val="00E70815"/>
    <w:rsid w:val="00E7321D"/>
    <w:rsid w:val="00E73B20"/>
    <w:rsid w:val="00E746A0"/>
    <w:rsid w:val="00E74EBA"/>
    <w:rsid w:val="00E808F3"/>
    <w:rsid w:val="00E83747"/>
    <w:rsid w:val="00E90F52"/>
    <w:rsid w:val="00E94165"/>
    <w:rsid w:val="00E95F84"/>
    <w:rsid w:val="00EA2A11"/>
    <w:rsid w:val="00EA342B"/>
    <w:rsid w:val="00EA342C"/>
    <w:rsid w:val="00EA35C4"/>
    <w:rsid w:val="00EA39FF"/>
    <w:rsid w:val="00EA3E8F"/>
    <w:rsid w:val="00EB06B7"/>
    <w:rsid w:val="00EB0D0C"/>
    <w:rsid w:val="00EB295F"/>
    <w:rsid w:val="00EB3616"/>
    <w:rsid w:val="00EB40FB"/>
    <w:rsid w:val="00EB77DE"/>
    <w:rsid w:val="00EC0AB8"/>
    <w:rsid w:val="00EC3735"/>
    <w:rsid w:val="00EC492B"/>
    <w:rsid w:val="00EC5326"/>
    <w:rsid w:val="00EC567B"/>
    <w:rsid w:val="00ED0E64"/>
    <w:rsid w:val="00ED1D16"/>
    <w:rsid w:val="00ED5793"/>
    <w:rsid w:val="00ED5CDB"/>
    <w:rsid w:val="00ED731C"/>
    <w:rsid w:val="00EE4846"/>
    <w:rsid w:val="00EF1DDD"/>
    <w:rsid w:val="00EF4621"/>
    <w:rsid w:val="00EF6896"/>
    <w:rsid w:val="00F00E8C"/>
    <w:rsid w:val="00F0335C"/>
    <w:rsid w:val="00F0444B"/>
    <w:rsid w:val="00F064A7"/>
    <w:rsid w:val="00F068F8"/>
    <w:rsid w:val="00F07AFE"/>
    <w:rsid w:val="00F111C4"/>
    <w:rsid w:val="00F13D1D"/>
    <w:rsid w:val="00F16091"/>
    <w:rsid w:val="00F20C2E"/>
    <w:rsid w:val="00F24B5A"/>
    <w:rsid w:val="00F24BD4"/>
    <w:rsid w:val="00F262A6"/>
    <w:rsid w:val="00F2743C"/>
    <w:rsid w:val="00F30CC6"/>
    <w:rsid w:val="00F32FC3"/>
    <w:rsid w:val="00F33BFB"/>
    <w:rsid w:val="00F33FC7"/>
    <w:rsid w:val="00F35BA6"/>
    <w:rsid w:val="00F35DEB"/>
    <w:rsid w:val="00F3701B"/>
    <w:rsid w:val="00F42163"/>
    <w:rsid w:val="00F43C8D"/>
    <w:rsid w:val="00F45024"/>
    <w:rsid w:val="00F4672B"/>
    <w:rsid w:val="00F46BD4"/>
    <w:rsid w:val="00F500BE"/>
    <w:rsid w:val="00F50610"/>
    <w:rsid w:val="00F52585"/>
    <w:rsid w:val="00F5318D"/>
    <w:rsid w:val="00F57A6B"/>
    <w:rsid w:val="00F57E28"/>
    <w:rsid w:val="00F633E5"/>
    <w:rsid w:val="00F719BE"/>
    <w:rsid w:val="00F71EAE"/>
    <w:rsid w:val="00F72C1C"/>
    <w:rsid w:val="00F7334A"/>
    <w:rsid w:val="00F773F7"/>
    <w:rsid w:val="00F8586A"/>
    <w:rsid w:val="00F91226"/>
    <w:rsid w:val="00F91AFA"/>
    <w:rsid w:val="00F92E8B"/>
    <w:rsid w:val="00F93D7D"/>
    <w:rsid w:val="00FA172A"/>
    <w:rsid w:val="00FB039D"/>
    <w:rsid w:val="00FB1BBD"/>
    <w:rsid w:val="00FB4841"/>
    <w:rsid w:val="00FB4D08"/>
    <w:rsid w:val="00FC0CAA"/>
    <w:rsid w:val="00FC2B29"/>
    <w:rsid w:val="00FC697A"/>
    <w:rsid w:val="00FD27C8"/>
    <w:rsid w:val="00FD41AA"/>
    <w:rsid w:val="00FD5C57"/>
    <w:rsid w:val="00FD7045"/>
    <w:rsid w:val="00FD7168"/>
    <w:rsid w:val="00FD73B1"/>
    <w:rsid w:val="00FE28A7"/>
    <w:rsid w:val="00FE341A"/>
    <w:rsid w:val="00FE3E17"/>
    <w:rsid w:val="00FE3F31"/>
    <w:rsid w:val="00FE5491"/>
    <w:rsid w:val="00FE7320"/>
    <w:rsid w:val="00FE74D3"/>
    <w:rsid w:val="00FF0F2D"/>
    <w:rsid w:val="00FF248A"/>
    <w:rsid w:val="00FF35FB"/>
    <w:rsid w:val="00FF3E4E"/>
    <w:rsid w:val="040E5FE6"/>
    <w:rsid w:val="19966245"/>
    <w:rsid w:val="205101CB"/>
    <w:rsid w:val="43C01183"/>
    <w:rsid w:val="570B5CA7"/>
    <w:rsid w:val="603D6075"/>
    <w:rsid w:val="67236729"/>
    <w:rsid w:val="6BCB61ED"/>
    <w:rsid w:val="767912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26834C"/>
  <w15:docId w15:val="{42B0F1B1-94ED-4792-803A-D84B14BAE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3">
    <w:name w:val="Normal"/>
    <w:next w:val="2"/>
    <w:qFormat/>
    <w:pPr>
      <w:widowControl w:val="0"/>
      <w:jc w:val="both"/>
    </w:pPr>
    <w:rPr>
      <w:kern w:val="2"/>
      <w:sz w:val="21"/>
      <w:szCs w:val="22"/>
    </w:rPr>
  </w:style>
  <w:style w:type="paragraph" w:styleId="1">
    <w:name w:val="heading 1"/>
    <w:basedOn w:val="af3"/>
    <w:next w:val="af3"/>
    <w:link w:val="10"/>
    <w:uiPriority w:val="9"/>
    <w:qFormat/>
    <w:pPr>
      <w:keepNext/>
      <w:keepLines/>
      <w:spacing w:before="340" w:after="330" w:line="578" w:lineRule="auto"/>
      <w:outlineLvl w:val="0"/>
    </w:pPr>
    <w:rPr>
      <w:rFonts w:eastAsia="黑体"/>
      <w:b/>
      <w:bCs/>
      <w:kern w:val="44"/>
      <w:sz w:val="28"/>
      <w:szCs w:val="44"/>
    </w:rPr>
  </w:style>
  <w:style w:type="paragraph" w:styleId="20">
    <w:name w:val="heading 2"/>
    <w:basedOn w:val="af3"/>
    <w:next w:val="af3"/>
    <w:link w:val="21"/>
    <w:uiPriority w:val="9"/>
    <w:unhideWhenUsed/>
    <w:qFormat/>
    <w:pPr>
      <w:keepNext/>
      <w:keepLines/>
      <w:spacing w:before="260" w:after="260" w:line="416" w:lineRule="auto"/>
      <w:outlineLvl w:val="1"/>
    </w:pPr>
    <w:rPr>
      <w:rFonts w:asciiTheme="majorHAnsi" w:eastAsia="黑体" w:hAnsiTheme="majorHAnsi" w:cstheme="majorBidi"/>
      <w:b/>
      <w:bCs/>
      <w:sz w:val="24"/>
      <w:szCs w:val="32"/>
    </w:rPr>
  </w:style>
  <w:style w:type="paragraph" w:styleId="3">
    <w:name w:val="heading 3"/>
    <w:basedOn w:val="af3"/>
    <w:next w:val="af3"/>
    <w:link w:val="30"/>
    <w:uiPriority w:val="9"/>
    <w:unhideWhenUsed/>
    <w:qFormat/>
    <w:pPr>
      <w:keepNext/>
      <w:keepLines/>
      <w:spacing w:before="260" w:after="260" w:line="416" w:lineRule="auto"/>
      <w:outlineLvl w:val="2"/>
    </w:pPr>
    <w:rPr>
      <w:b/>
      <w:bCs/>
      <w:sz w:val="32"/>
      <w:szCs w:val="32"/>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2">
    <w:name w:val="Body Text First Indent 2"/>
    <w:basedOn w:val="af7"/>
    <w:uiPriority w:val="99"/>
    <w:semiHidden/>
    <w:unhideWhenUsed/>
    <w:pPr>
      <w:ind w:firstLineChars="200" w:firstLine="420"/>
    </w:pPr>
  </w:style>
  <w:style w:type="paragraph" w:styleId="af7">
    <w:name w:val="Body Text Indent"/>
    <w:basedOn w:val="af3"/>
    <w:uiPriority w:val="99"/>
    <w:semiHidden/>
    <w:unhideWhenUsed/>
    <w:pPr>
      <w:spacing w:after="120"/>
      <w:ind w:leftChars="200" w:left="420"/>
    </w:pPr>
  </w:style>
  <w:style w:type="paragraph" w:styleId="af8">
    <w:name w:val="annotation text"/>
    <w:basedOn w:val="af3"/>
    <w:link w:val="af9"/>
    <w:qFormat/>
    <w:pPr>
      <w:jc w:val="left"/>
    </w:pPr>
    <w:rPr>
      <w:rFonts w:ascii="Times New Roman" w:eastAsia="宋体" w:hAnsi="Times New Roman" w:cs="Times New Roman"/>
      <w:szCs w:val="24"/>
    </w:rPr>
  </w:style>
  <w:style w:type="paragraph" w:styleId="TOC3">
    <w:name w:val="toc 3"/>
    <w:basedOn w:val="af3"/>
    <w:next w:val="af3"/>
    <w:uiPriority w:val="39"/>
    <w:unhideWhenUsed/>
    <w:qFormat/>
    <w:pPr>
      <w:widowControl/>
      <w:adjustRightInd w:val="0"/>
      <w:snapToGrid w:val="0"/>
      <w:spacing w:after="200"/>
      <w:ind w:leftChars="400" w:left="840"/>
      <w:jc w:val="left"/>
    </w:pPr>
    <w:rPr>
      <w:rFonts w:ascii="Tahoma" w:eastAsia="微软雅黑" w:hAnsi="Tahoma"/>
      <w:kern w:val="0"/>
      <w:sz w:val="22"/>
    </w:rPr>
  </w:style>
  <w:style w:type="paragraph" w:styleId="afa">
    <w:name w:val="Balloon Text"/>
    <w:basedOn w:val="af3"/>
    <w:link w:val="afb"/>
    <w:uiPriority w:val="99"/>
    <w:unhideWhenUsed/>
    <w:qFormat/>
    <w:rPr>
      <w:sz w:val="18"/>
      <w:szCs w:val="18"/>
    </w:rPr>
  </w:style>
  <w:style w:type="paragraph" w:styleId="afc">
    <w:name w:val="footer"/>
    <w:basedOn w:val="af3"/>
    <w:link w:val="afd"/>
    <w:uiPriority w:val="99"/>
    <w:unhideWhenUsed/>
    <w:qFormat/>
    <w:pPr>
      <w:tabs>
        <w:tab w:val="center" w:pos="4153"/>
        <w:tab w:val="right" w:pos="8306"/>
      </w:tabs>
      <w:snapToGrid w:val="0"/>
      <w:jc w:val="left"/>
    </w:pPr>
    <w:rPr>
      <w:sz w:val="18"/>
      <w:szCs w:val="18"/>
    </w:rPr>
  </w:style>
  <w:style w:type="paragraph" w:styleId="afe">
    <w:name w:val="header"/>
    <w:basedOn w:val="af3"/>
    <w:link w:val="af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f3"/>
    <w:next w:val="af3"/>
    <w:autoRedefine/>
    <w:uiPriority w:val="39"/>
    <w:unhideWhenUsed/>
    <w:qFormat/>
    <w:pPr>
      <w:widowControl/>
      <w:adjustRightInd w:val="0"/>
      <w:snapToGrid w:val="0"/>
      <w:spacing w:after="200"/>
      <w:jc w:val="left"/>
    </w:pPr>
    <w:rPr>
      <w:rFonts w:ascii="Tahoma" w:eastAsia="微软雅黑" w:hAnsi="Tahoma"/>
      <w:kern w:val="0"/>
      <w:sz w:val="22"/>
    </w:rPr>
  </w:style>
  <w:style w:type="paragraph" w:styleId="a3">
    <w:name w:val="footnote text"/>
    <w:basedOn w:val="af3"/>
    <w:link w:val="aff0"/>
    <w:qFormat/>
    <w:pPr>
      <w:numPr>
        <w:numId w:val="1"/>
      </w:numPr>
      <w:snapToGrid w:val="0"/>
      <w:jc w:val="left"/>
    </w:pPr>
    <w:rPr>
      <w:rFonts w:ascii="宋体" w:eastAsia="宋体" w:hAnsi="Times New Roman" w:cs="Times New Roman"/>
      <w:sz w:val="18"/>
      <w:szCs w:val="18"/>
    </w:rPr>
  </w:style>
  <w:style w:type="paragraph" w:styleId="TOC2">
    <w:name w:val="toc 2"/>
    <w:basedOn w:val="af3"/>
    <w:next w:val="af3"/>
    <w:uiPriority w:val="39"/>
    <w:unhideWhenUsed/>
    <w:qFormat/>
    <w:pPr>
      <w:widowControl/>
      <w:adjustRightInd w:val="0"/>
      <w:snapToGrid w:val="0"/>
      <w:spacing w:after="200"/>
      <w:ind w:leftChars="200" w:left="420"/>
      <w:jc w:val="left"/>
    </w:pPr>
    <w:rPr>
      <w:rFonts w:ascii="Tahoma" w:eastAsia="微软雅黑" w:hAnsi="Tahoma"/>
      <w:kern w:val="0"/>
      <w:sz w:val="22"/>
    </w:rPr>
  </w:style>
  <w:style w:type="paragraph" w:styleId="aff1">
    <w:name w:val="Normal (Web)"/>
    <w:basedOn w:val="af3"/>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f2">
    <w:name w:val="annotation subject"/>
    <w:basedOn w:val="af8"/>
    <w:next w:val="af8"/>
    <w:link w:val="aff3"/>
    <w:uiPriority w:val="99"/>
    <w:semiHidden/>
    <w:unhideWhenUsed/>
    <w:rPr>
      <w:rFonts w:asciiTheme="minorHAnsi" w:eastAsiaTheme="minorEastAsia" w:hAnsiTheme="minorHAnsi" w:cstheme="minorBidi"/>
      <w:b/>
      <w:bCs/>
      <w:szCs w:val="22"/>
    </w:rPr>
  </w:style>
  <w:style w:type="table" w:styleId="aff4">
    <w:name w:val="Table Grid"/>
    <w:basedOn w:val="af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f4"/>
    <w:uiPriority w:val="22"/>
    <w:qFormat/>
    <w:rPr>
      <w:b/>
      <w:bCs/>
    </w:rPr>
  </w:style>
  <w:style w:type="character" w:styleId="aff6">
    <w:name w:val="page number"/>
    <w:qFormat/>
    <w:rPr>
      <w:rFonts w:cs="Times New Roman"/>
    </w:rPr>
  </w:style>
  <w:style w:type="character" w:styleId="aff7">
    <w:name w:val="Emphasis"/>
    <w:basedOn w:val="af4"/>
    <w:uiPriority w:val="20"/>
    <w:qFormat/>
    <w:rPr>
      <w:i/>
      <w:iCs/>
    </w:rPr>
  </w:style>
  <w:style w:type="character" w:styleId="aff8">
    <w:name w:val="Hyperlink"/>
    <w:basedOn w:val="af4"/>
    <w:uiPriority w:val="99"/>
    <w:unhideWhenUsed/>
    <w:qFormat/>
    <w:rPr>
      <w:color w:val="0000FF"/>
      <w:u w:val="single"/>
    </w:rPr>
  </w:style>
  <w:style w:type="character" w:styleId="aff9">
    <w:name w:val="annotation reference"/>
    <w:basedOn w:val="af4"/>
    <w:uiPriority w:val="99"/>
    <w:semiHidden/>
    <w:unhideWhenUsed/>
    <w:rPr>
      <w:sz w:val="21"/>
      <w:szCs w:val="21"/>
    </w:rPr>
  </w:style>
  <w:style w:type="character" w:customStyle="1" w:styleId="10">
    <w:name w:val="标题 1 字符"/>
    <w:basedOn w:val="af4"/>
    <w:link w:val="1"/>
    <w:uiPriority w:val="9"/>
    <w:qFormat/>
    <w:rPr>
      <w:rFonts w:eastAsia="黑体"/>
      <w:b/>
      <w:bCs/>
      <w:kern w:val="44"/>
      <w:sz w:val="28"/>
      <w:szCs w:val="44"/>
    </w:rPr>
  </w:style>
  <w:style w:type="character" w:customStyle="1" w:styleId="21">
    <w:name w:val="标题 2 字符"/>
    <w:basedOn w:val="af4"/>
    <w:link w:val="20"/>
    <w:uiPriority w:val="9"/>
    <w:qFormat/>
    <w:rPr>
      <w:rFonts w:asciiTheme="majorHAnsi" w:eastAsia="黑体" w:hAnsiTheme="majorHAnsi" w:cstheme="majorBidi"/>
      <w:b/>
      <w:bCs/>
      <w:sz w:val="24"/>
      <w:szCs w:val="32"/>
    </w:rPr>
  </w:style>
  <w:style w:type="character" w:customStyle="1" w:styleId="30">
    <w:name w:val="标题 3 字符"/>
    <w:basedOn w:val="af4"/>
    <w:link w:val="3"/>
    <w:uiPriority w:val="9"/>
    <w:qFormat/>
    <w:rPr>
      <w:b/>
      <w:bCs/>
      <w:kern w:val="2"/>
      <w:sz w:val="32"/>
      <w:szCs w:val="32"/>
    </w:rPr>
  </w:style>
  <w:style w:type="character" w:customStyle="1" w:styleId="af9">
    <w:name w:val="批注文字 字符"/>
    <w:basedOn w:val="af4"/>
    <w:link w:val="af8"/>
    <w:qFormat/>
    <w:rPr>
      <w:rFonts w:ascii="Times New Roman" w:eastAsia="宋体" w:hAnsi="Times New Roman" w:cs="Times New Roman"/>
      <w:szCs w:val="24"/>
    </w:rPr>
  </w:style>
  <w:style w:type="character" w:customStyle="1" w:styleId="afb">
    <w:name w:val="批注框文本 字符"/>
    <w:basedOn w:val="af4"/>
    <w:link w:val="afa"/>
    <w:uiPriority w:val="99"/>
    <w:qFormat/>
    <w:rPr>
      <w:sz w:val="18"/>
      <w:szCs w:val="18"/>
    </w:rPr>
  </w:style>
  <w:style w:type="character" w:customStyle="1" w:styleId="afd">
    <w:name w:val="页脚 字符"/>
    <w:basedOn w:val="af4"/>
    <w:link w:val="afc"/>
    <w:uiPriority w:val="99"/>
    <w:qFormat/>
    <w:rPr>
      <w:sz w:val="18"/>
      <w:szCs w:val="18"/>
    </w:rPr>
  </w:style>
  <w:style w:type="character" w:customStyle="1" w:styleId="aff">
    <w:name w:val="页眉 字符"/>
    <w:basedOn w:val="af4"/>
    <w:link w:val="afe"/>
    <w:uiPriority w:val="99"/>
    <w:qFormat/>
    <w:rPr>
      <w:sz w:val="18"/>
      <w:szCs w:val="18"/>
    </w:rPr>
  </w:style>
  <w:style w:type="character" w:customStyle="1" w:styleId="aff0">
    <w:name w:val="脚注文本 字符"/>
    <w:basedOn w:val="af4"/>
    <w:link w:val="a3"/>
    <w:qFormat/>
    <w:rPr>
      <w:rFonts w:ascii="宋体" w:eastAsia="宋体" w:hAnsi="Times New Roman" w:cs="Times New Roman"/>
      <w:kern w:val="2"/>
      <w:sz w:val="18"/>
      <w:szCs w:val="18"/>
    </w:rPr>
  </w:style>
  <w:style w:type="paragraph" w:customStyle="1" w:styleId="affa">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basedOn w:val="af4"/>
    <w:link w:val="affa"/>
    <w:qFormat/>
    <w:rPr>
      <w:rFonts w:ascii="宋体" w:eastAsia="宋体" w:hAnsi="Times New Roman" w:cs="Times New Roman"/>
      <w:kern w:val="0"/>
      <w:szCs w:val="20"/>
    </w:rPr>
  </w:style>
  <w:style w:type="paragraph" w:styleId="affb">
    <w:name w:val="List Paragraph"/>
    <w:basedOn w:val="af3"/>
    <w:uiPriority w:val="99"/>
    <w:qFormat/>
    <w:pPr>
      <w:ind w:firstLineChars="200" w:firstLine="420"/>
    </w:pPr>
  </w:style>
  <w:style w:type="paragraph" w:customStyle="1" w:styleId="CharCharCharCharCharChar">
    <w:name w:val="Char Char Char Char Char Char"/>
    <w:basedOn w:val="af3"/>
    <w:qFormat/>
    <w:pPr>
      <w:widowControl/>
      <w:spacing w:after="160" w:line="240" w:lineRule="exact"/>
      <w:jc w:val="left"/>
    </w:pPr>
    <w:rPr>
      <w:rFonts w:ascii="Arial" w:eastAsia="Times New Roman" w:hAnsi="Arial" w:cs="Verdana"/>
      <w:b/>
      <w:kern w:val="0"/>
      <w:sz w:val="24"/>
      <w:szCs w:val="24"/>
      <w:lang w:eastAsia="en-US"/>
    </w:rPr>
  </w:style>
  <w:style w:type="paragraph" w:customStyle="1" w:styleId="Char1CharCharChar">
    <w:name w:val="Char1 Char Char Char"/>
    <w:basedOn w:val="af3"/>
    <w:qFormat/>
    <w:rPr>
      <w:rFonts w:ascii="Tahoma" w:eastAsia="宋体" w:hAnsi="Tahoma" w:cs="Times New Roman"/>
      <w:sz w:val="24"/>
      <w:szCs w:val="20"/>
    </w:rPr>
  </w:style>
  <w:style w:type="paragraph" w:customStyle="1" w:styleId="a1">
    <w:name w:val="一级条标题"/>
    <w:next w:val="affa"/>
    <w:pPr>
      <w:numPr>
        <w:ilvl w:val="1"/>
        <w:numId w:val="2"/>
      </w:numPr>
      <w:spacing w:beforeLines="50" w:afterLines="50"/>
      <w:outlineLvl w:val="2"/>
    </w:pPr>
    <w:rPr>
      <w:rFonts w:ascii="黑体" w:eastAsia="黑体" w:hAnsi="Times New Roman" w:cs="Times New Roman"/>
      <w:sz w:val="21"/>
      <w:szCs w:val="21"/>
    </w:rPr>
  </w:style>
  <w:style w:type="paragraph" w:customStyle="1" w:styleId="a0">
    <w:name w:val="章标题"/>
    <w:next w:val="affa"/>
    <w:qFormat/>
    <w:pPr>
      <w:numPr>
        <w:numId w:val="2"/>
      </w:numPr>
      <w:spacing w:beforeLines="100" w:afterLines="100"/>
      <w:jc w:val="both"/>
      <w:outlineLvl w:val="1"/>
    </w:pPr>
    <w:rPr>
      <w:rFonts w:ascii="黑体" w:eastAsia="黑体" w:hAnsi="Times New Roman" w:cs="Times New Roman"/>
      <w:sz w:val="21"/>
    </w:rPr>
  </w:style>
  <w:style w:type="paragraph" w:customStyle="1" w:styleId="a2">
    <w:name w:val="二级条标题"/>
    <w:basedOn w:val="a1"/>
    <w:next w:val="affa"/>
    <w:qFormat/>
    <w:pPr>
      <w:numPr>
        <w:ilvl w:val="2"/>
      </w:numPr>
      <w:spacing w:before="50" w:after="50"/>
      <w:outlineLvl w:val="3"/>
    </w:pPr>
  </w:style>
  <w:style w:type="paragraph" w:customStyle="1" w:styleId="affc">
    <w:name w:val="四级条标题"/>
    <w:basedOn w:val="af3"/>
    <w:next w:val="affa"/>
    <w:qFormat/>
    <w:pPr>
      <w:widowControl/>
      <w:spacing w:beforeLines="50" w:afterLines="50"/>
      <w:jc w:val="left"/>
      <w:outlineLvl w:val="5"/>
    </w:pPr>
    <w:rPr>
      <w:rFonts w:ascii="黑体" w:eastAsia="黑体" w:hAnsi="Times New Roman" w:cs="Times New Roman"/>
      <w:kern w:val="0"/>
      <w:szCs w:val="21"/>
    </w:rPr>
  </w:style>
  <w:style w:type="paragraph" w:customStyle="1" w:styleId="affd">
    <w:name w:val="五级条标题"/>
    <w:basedOn w:val="affc"/>
    <w:next w:val="affa"/>
    <w:qFormat/>
    <w:pPr>
      <w:outlineLvl w:val="6"/>
    </w:pPr>
  </w:style>
  <w:style w:type="paragraph" w:customStyle="1" w:styleId="a7">
    <w:name w:val="注×：（正文）"/>
    <w:qFormat/>
    <w:pPr>
      <w:numPr>
        <w:numId w:val="3"/>
      </w:numPr>
      <w:jc w:val="both"/>
    </w:pPr>
    <w:rPr>
      <w:rFonts w:ascii="宋体" w:eastAsia="宋体" w:hAnsi="Times New Roman" w:cs="Times New Roman"/>
      <w:sz w:val="18"/>
      <w:szCs w:val="18"/>
    </w:rPr>
  </w:style>
  <w:style w:type="paragraph" w:customStyle="1" w:styleId="a9">
    <w:name w:val="数字编号列项（二级）"/>
    <w:qFormat/>
    <w:pPr>
      <w:numPr>
        <w:ilvl w:val="1"/>
        <w:numId w:val="4"/>
      </w:numPr>
      <w:jc w:val="both"/>
    </w:pPr>
    <w:rPr>
      <w:rFonts w:ascii="宋体" w:eastAsia="宋体" w:hAnsi="Times New Roman" w:cs="Times New Roman"/>
      <w:sz w:val="21"/>
    </w:rPr>
  </w:style>
  <w:style w:type="paragraph" w:customStyle="1" w:styleId="affe">
    <w:name w:val="字母编号列项（一级）"/>
    <w:qFormat/>
    <w:pPr>
      <w:tabs>
        <w:tab w:val="left" w:pos="840"/>
      </w:tabs>
      <w:ind w:left="839" w:hanging="419"/>
      <w:jc w:val="both"/>
    </w:pPr>
    <w:rPr>
      <w:rFonts w:ascii="宋体" w:eastAsia="宋体" w:hAnsi="Times New Roman" w:cs="Times New Roman"/>
      <w:sz w:val="21"/>
    </w:rPr>
  </w:style>
  <w:style w:type="paragraph" w:customStyle="1" w:styleId="a">
    <w:name w:val="示例"/>
    <w:next w:val="af3"/>
    <w:pPr>
      <w:widowControl w:val="0"/>
      <w:numPr>
        <w:numId w:val="5"/>
      </w:numPr>
      <w:jc w:val="both"/>
    </w:pPr>
    <w:rPr>
      <w:rFonts w:ascii="宋体" w:eastAsia="宋体" w:hAnsi="Times New Roman" w:cs="Times New Roman"/>
      <w:sz w:val="18"/>
      <w:szCs w:val="18"/>
    </w:rPr>
  </w:style>
  <w:style w:type="paragraph" w:customStyle="1" w:styleId="afff">
    <w:name w:val="项目"/>
    <w:basedOn w:val="af3"/>
    <w:qFormat/>
    <w:pPr>
      <w:widowControl/>
      <w:spacing w:beforeLines="50" w:afterLines="50" w:after="200" w:line="360" w:lineRule="auto"/>
      <w:outlineLvl w:val="2"/>
    </w:pPr>
    <w:rPr>
      <w:rFonts w:ascii="Times New Roman" w:eastAsia="黑体" w:hAnsi="Times New Roman" w:cs="Times New Roman"/>
      <w:b/>
      <w:kern w:val="0"/>
      <w:sz w:val="28"/>
      <w:lang w:eastAsia="en-US"/>
    </w:rPr>
  </w:style>
  <w:style w:type="paragraph" w:customStyle="1" w:styleId="afff0">
    <w:name w:val="节"/>
    <w:basedOn w:val="af3"/>
    <w:next w:val="afff"/>
    <w:qFormat/>
    <w:pPr>
      <w:keepNext/>
      <w:widowControl/>
      <w:spacing w:beforeLines="100" w:afterLines="100" w:after="200" w:line="360" w:lineRule="auto"/>
      <w:outlineLvl w:val="1"/>
    </w:pPr>
    <w:rPr>
      <w:rFonts w:ascii="Times New Roman" w:eastAsia="黑体" w:hAnsi="Times New Roman" w:cs="Times New Roman"/>
      <w:b/>
      <w:kern w:val="0"/>
      <w:sz w:val="32"/>
    </w:rPr>
  </w:style>
  <w:style w:type="character" w:customStyle="1" w:styleId="Char0">
    <w:name w:val="能评书正文 Char"/>
    <w:link w:val="afff1"/>
    <w:qFormat/>
    <w:locked/>
    <w:rPr>
      <w:rFonts w:ascii="Times New Roman" w:hAnsi="宋体"/>
      <w:color w:val="000000"/>
      <w:sz w:val="28"/>
    </w:rPr>
  </w:style>
  <w:style w:type="paragraph" w:customStyle="1" w:styleId="afff1">
    <w:name w:val="能评书正文"/>
    <w:basedOn w:val="af3"/>
    <w:link w:val="Char0"/>
    <w:qFormat/>
    <w:pPr>
      <w:spacing w:line="360" w:lineRule="auto"/>
      <w:ind w:firstLineChars="200" w:firstLine="560"/>
    </w:pPr>
    <w:rPr>
      <w:rFonts w:ascii="Times New Roman" w:hAnsi="宋体"/>
      <w:color w:val="000000"/>
      <w:kern w:val="0"/>
      <w:sz w:val="28"/>
      <w:szCs w:val="20"/>
    </w:rPr>
  </w:style>
  <w:style w:type="character" w:customStyle="1" w:styleId="1CharChar">
    <w:name w:val="能评书表格内容1 Char Char"/>
    <w:link w:val="11"/>
    <w:qFormat/>
    <w:locked/>
    <w:rPr>
      <w:rFonts w:ascii="Times New Roman" w:eastAsia="楷体_GB2312" w:hAnsi="Times New Roman"/>
      <w:sz w:val="24"/>
    </w:rPr>
  </w:style>
  <w:style w:type="paragraph" w:customStyle="1" w:styleId="11">
    <w:name w:val="能评书表格内容1"/>
    <w:basedOn w:val="af3"/>
    <w:link w:val="1CharChar"/>
    <w:qFormat/>
    <w:pPr>
      <w:jc w:val="center"/>
    </w:pPr>
    <w:rPr>
      <w:rFonts w:ascii="Times New Roman" w:eastAsia="楷体_GB2312" w:hAnsi="Times New Roman"/>
      <w:kern w:val="0"/>
      <w:sz w:val="24"/>
      <w:szCs w:val="20"/>
    </w:rPr>
  </w:style>
  <w:style w:type="character" w:customStyle="1" w:styleId="Char1">
    <w:name w:val="能评正文 Char"/>
    <w:link w:val="afff2"/>
    <w:qFormat/>
    <w:locked/>
    <w:rPr>
      <w:rFonts w:ascii="宋体" w:eastAsia="宋体"/>
      <w:sz w:val="28"/>
    </w:rPr>
  </w:style>
  <w:style w:type="paragraph" w:customStyle="1" w:styleId="afff2">
    <w:name w:val="能评正文"/>
    <w:basedOn w:val="af3"/>
    <w:link w:val="Char1"/>
    <w:qFormat/>
    <w:pPr>
      <w:spacing w:line="360" w:lineRule="auto"/>
      <w:ind w:firstLineChars="200" w:firstLine="560"/>
    </w:pPr>
    <w:rPr>
      <w:rFonts w:ascii="宋体" w:eastAsia="宋体"/>
      <w:kern w:val="0"/>
      <w:sz w:val="28"/>
      <w:szCs w:val="20"/>
    </w:rPr>
  </w:style>
  <w:style w:type="paragraph" w:customStyle="1" w:styleId="TOC10">
    <w:name w:val="TOC 标题1"/>
    <w:basedOn w:val="1"/>
    <w:next w:val="af3"/>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ENN">
    <w:name w:val="ENN表格正文"/>
    <w:basedOn w:val="af3"/>
    <w:link w:val="ENNChar"/>
    <w:qFormat/>
    <w:pPr>
      <w:spacing w:beforeLines="20" w:afterLines="20" w:after="200"/>
      <w:jc w:val="center"/>
    </w:pPr>
    <w:rPr>
      <w:rFonts w:ascii="Times New Roman" w:eastAsia="仿宋_GB2312" w:hAnsi="Times New Roman" w:cs="Times New Roman"/>
      <w:lang w:val="zh-CN"/>
    </w:rPr>
  </w:style>
  <w:style w:type="character" w:customStyle="1" w:styleId="ENNChar">
    <w:name w:val="ENN表格正文 Char"/>
    <w:link w:val="ENN"/>
    <w:rPr>
      <w:rFonts w:ascii="Times New Roman" w:eastAsia="仿宋_GB2312" w:hAnsi="Times New Roman" w:cs="Times New Roman"/>
      <w:kern w:val="2"/>
      <w:sz w:val="21"/>
      <w:szCs w:val="22"/>
      <w:lang w:val="zh-CN"/>
    </w:rPr>
  </w:style>
  <w:style w:type="paragraph" w:customStyle="1" w:styleId="ENN0">
    <w:name w:val="ENN正文0"/>
    <w:basedOn w:val="af3"/>
    <w:link w:val="ENN0Char"/>
    <w:qFormat/>
    <w:pPr>
      <w:autoSpaceDE w:val="0"/>
      <w:autoSpaceDN w:val="0"/>
      <w:spacing w:line="360" w:lineRule="auto"/>
      <w:ind w:firstLineChars="200" w:firstLine="200"/>
    </w:pPr>
    <w:rPr>
      <w:rFonts w:ascii="Times New Roman" w:eastAsia="仿宋_GB2312" w:hAnsi="Times New Roman" w:cs="Times New Roman"/>
      <w:sz w:val="24"/>
      <w:szCs w:val="26"/>
      <w:lang w:val="zh-CN"/>
    </w:rPr>
  </w:style>
  <w:style w:type="character" w:customStyle="1" w:styleId="ENN0Char">
    <w:name w:val="ENN正文0 Char"/>
    <w:link w:val="ENN0"/>
    <w:rPr>
      <w:rFonts w:ascii="Times New Roman" w:eastAsia="仿宋_GB2312" w:hAnsi="Times New Roman" w:cs="Times New Roman"/>
      <w:kern w:val="2"/>
      <w:sz w:val="24"/>
      <w:szCs w:val="26"/>
      <w:lang w:val="zh-CN"/>
    </w:rPr>
  </w:style>
  <w:style w:type="paragraph" w:customStyle="1" w:styleId="325">
    <w:name w:val="样式 标题 3 + 行距: 最小值 25 磅"/>
    <w:basedOn w:val="3"/>
    <w:link w:val="325Char"/>
    <w:pPr>
      <w:spacing w:before="0" w:after="0" w:line="240" w:lineRule="auto"/>
    </w:pPr>
    <w:rPr>
      <w:rFonts w:ascii="Times New Roman" w:eastAsia="宋体" w:hAnsi="Times New Roman" w:cs="宋体"/>
      <w:b w:val="0"/>
      <w:bCs w:val="0"/>
      <w:sz w:val="28"/>
      <w:szCs w:val="28"/>
    </w:rPr>
  </w:style>
  <w:style w:type="character" w:customStyle="1" w:styleId="325Char">
    <w:name w:val="样式 标题 3 + 行距: 最小值 25 磅 Char"/>
    <w:basedOn w:val="af4"/>
    <w:link w:val="325"/>
    <w:rPr>
      <w:rFonts w:ascii="Times New Roman" w:eastAsia="宋体" w:hAnsi="Times New Roman" w:cs="宋体"/>
      <w:kern w:val="2"/>
      <w:sz w:val="28"/>
      <w:szCs w:val="28"/>
    </w:rPr>
  </w:style>
  <w:style w:type="paragraph" w:customStyle="1" w:styleId="afff3">
    <w:name w:val="天水正文"/>
    <w:basedOn w:val="af3"/>
    <w:link w:val="Char2"/>
    <w:pPr>
      <w:spacing w:line="500" w:lineRule="exact"/>
      <w:ind w:firstLineChars="200" w:firstLine="200"/>
      <w:jc w:val="left"/>
    </w:pPr>
    <w:rPr>
      <w:rFonts w:ascii="Times New Roman" w:eastAsia="宋体" w:hAnsi="Times New Roman" w:cs="Times New Roman"/>
      <w:sz w:val="24"/>
      <w:szCs w:val="24"/>
    </w:rPr>
  </w:style>
  <w:style w:type="character" w:customStyle="1" w:styleId="Char2">
    <w:name w:val="天水正文 Char"/>
    <w:basedOn w:val="af4"/>
    <w:link w:val="afff3"/>
    <w:rPr>
      <w:rFonts w:ascii="Times New Roman" w:eastAsia="宋体" w:hAnsi="Times New Roman" w:cs="Times New Roman"/>
      <w:kern w:val="2"/>
      <w:sz w:val="24"/>
      <w:szCs w:val="24"/>
    </w:rPr>
  </w:style>
  <w:style w:type="paragraph" w:customStyle="1" w:styleId="12">
    <w:name w:val="样式1"/>
    <w:basedOn w:val="af3"/>
    <w:link w:val="1Char"/>
    <w:pPr>
      <w:adjustRightInd w:val="0"/>
      <w:snapToGrid w:val="0"/>
      <w:spacing w:line="500" w:lineRule="exact"/>
      <w:ind w:firstLineChars="200" w:firstLine="200"/>
    </w:pPr>
    <w:rPr>
      <w:rFonts w:ascii="Times New Roman" w:eastAsia="宋体" w:hAnsi="Times New Roman" w:cs="Times New Roman"/>
      <w:sz w:val="28"/>
      <w:szCs w:val="24"/>
    </w:rPr>
  </w:style>
  <w:style w:type="character" w:customStyle="1" w:styleId="1Char">
    <w:name w:val="样式1 Char"/>
    <w:basedOn w:val="af4"/>
    <w:link w:val="12"/>
    <w:rPr>
      <w:rFonts w:ascii="Times New Roman" w:eastAsia="宋体" w:hAnsi="Times New Roman" w:cs="Times New Roman"/>
      <w:kern w:val="2"/>
      <w:sz w:val="28"/>
      <w:szCs w:val="24"/>
    </w:rPr>
  </w:style>
  <w:style w:type="character" w:customStyle="1" w:styleId="aff3">
    <w:name w:val="批注主题 字符"/>
    <w:basedOn w:val="af9"/>
    <w:link w:val="aff2"/>
    <w:uiPriority w:val="99"/>
    <w:semiHidden/>
    <w:rPr>
      <w:rFonts w:ascii="Times New Roman" w:eastAsia="宋体" w:hAnsi="Times New Roman" w:cs="Times New Roman"/>
      <w:b/>
      <w:bCs/>
      <w:kern w:val="2"/>
      <w:sz w:val="21"/>
      <w:szCs w:val="22"/>
    </w:rPr>
  </w:style>
  <w:style w:type="paragraph" w:customStyle="1" w:styleId="afff4">
    <w:name w:val="标准文件_段"/>
    <w:link w:val="Char3"/>
    <w:qFormat/>
    <w:pPr>
      <w:autoSpaceDE w:val="0"/>
      <w:autoSpaceDN w:val="0"/>
      <w:ind w:firstLineChars="200" w:firstLine="200"/>
      <w:jc w:val="both"/>
    </w:pPr>
    <w:rPr>
      <w:rFonts w:ascii="宋体" w:eastAsia="宋体" w:hAnsi="Times New Roman" w:cs="Times New Roman"/>
      <w:sz w:val="21"/>
    </w:rPr>
  </w:style>
  <w:style w:type="character" w:customStyle="1" w:styleId="Char3">
    <w:name w:val="标准文件_段 Char"/>
    <w:link w:val="afff4"/>
    <w:qFormat/>
    <w:rPr>
      <w:rFonts w:ascii="宋体" w:eastAsia="宋体" w:hAnsi="Times New Roman" w:cs="Times New Roman"/>
      <w:sz w:val="21"/>
    </w:rPr>
  </w:style>
  <w:style w:type="paragraph" w:customStyle="1" w:styleId="ad">
    <w:name w:val="标准文件_二级条标题"/>
    <w:next w:val="afff4"/>
    <w:pPr>
      <w:widowControl w:val="0"/>
      <w:numPr>
        <w:ilvl w:val="3"/>
        <w:numId w:val="6"/>
      </w:numPr>
      <w:spacing w:beforeLines="50" w:afterLines="50"/>
      <w:jc w:val="both"/>
      <w:outlineLvl w:val="2"/>
    </w:pPr>
    <w:rPr>
      <w:rFonts w:ascii="黑体" w:eastAsia="黑体" w:hAnsi="Times New Roman" w:cs="Times New Roman"/>
      <w:sz w:val="21"/>
    </w:rPr>
  </w:style>
  <w:style w:type="paragraph" w:customStyle="1" w:styleId="ae">
    <w:name w:val="标准文件_三级条标题"/>
    <w:basedOn w:val="ad"/>
    <w:next w:val="afff4"/>
    <w:pPr>
      <w:widowControl/>
      <w:numPr>
        <w:ilvl w:val="4"/>
      </w:numPr>
      <w:outlineLvl w:val="3"/>
    </w:pPr>
  </w:style>
  <w:style w:type="paragraph" w:customStyle="1" w:styleId="af">
    <w:name w:val="标准文件_四级条标题"/>
    <w:next w:val="afff4"/>
    <w:pPr>
      <w:widowControl w:val="0"/>
      <w:numPr>
        <w:ilvl w:val="5"/>
        <w:numId w:val="6"/>
      </w:numPr>
      <w:spacing w:beforeLines="50" w:afterLines="50"/>
      <w:jc w:val="both"/>
      <w:outlineLvl w:val="4"/>
    </w:pPr>
    <w:rPr>
      <w:rFonts w:ascii="黑体" w:eastAsia="黑体" w:hAnsi="Times New Roman" w:cs="Times New Roman"/>
      <w:sz w:val="21"/>
    </w:rPr>
  </w:style>
  <w:style w:type="paragraph" w:customStyle="1" w:styleId="af0">
    <w:name w:val="标准文件_五级条标题"/>
    <w:next w:val="afff4"/>
    <w:pPr>
      <w:widowControl w:val="0"/>
      <w:numPr>
        <w:ilvl w:val="6"/>
        <w:numId w:val="6"/>
      </w:numPr>
      <w:spacing w:beforeLines="50" w:afterLines="50"/>
      <w:jc w:val="both"/>
      <w:outlineLvl w:val="5"/>
    </w:pPr>
    <w:rPr>
      <w:rFonts w:ascii="黑体" w:eastAsia="黑体" w:hAnsi="Times New Roman" w:cs="Times New Roman"/>
      <w:sz w:val="21"/>
    </w:rPr>
  </w:style>
  <w:style w:type="paragraph" w:customStyle="1" w:styleId="ab">
    <w:name w:val="标准文件_章标题"/>
    <w:next w:val="afff4"/>
    <w:pPr>
      <w:numPr>
        <w:ilvl w:val="1"/>
        <w:numId w:val="6"/>
      </w:numPr>
      <w:spacing w:beforeLines="100" w:afterLines="100"/>
      <w:jc w:val="both"/>
      <w:outlineLvl w:val="0"/>
    </w:pPr>
    <w:rPr>
      <w:rFonts w:ascii="黑体" w:eastAsia="黑体" w:hAnsi="Times New Roman" w:cs="Times New Roman"/>
      <w:sz w:val="21"/>
    </w:rPr>
  </w:style>
  <w:style w:type="paragraph" w:customStyle="1" w:styleId="ac">
    <w:name w:val="标准文件_一级条标题"/>
    <w:basedOn w:val="ab"/>
    <w:next w:val="afff4"/>
    <w:pPr>
      <w:numPr>
        <w:ilvl w:val="2"/>
      </w:numPr>
      <w:spacing w:beforeLines="50" w:afterLines="50"/>
      <w:outlineLvl w:val="1"/>
    </w:pPr>
  </w:style>
  <w:style w:type="paragraph" w:customStyle="1" w:styleId="aa">
    <w:name w:val="前言标题"/>
    <w:next w:val="af3"/>
    <w:pPr>
      <w:numPr>
        <w:numId w:val="6"/>
      </w:numPr>
      <w:shd w:val="clear" w:color="FFFFFF" w:fill="FFFFFF"/>
      <w:spacing w:before="540" w:after="600"/>
      <w:jc w:val="center"/>
      <w:outlineLvl w:val="0"/>
    </w:pPr>
    <w:rPr>
      <w:rFonts w:ascii="黑体" w:eastAsia="黑体" w:hAnsi="Times New Roman" w:cs="Times New Roman"/>
      <w:sz w:val="32"/>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paragraph" w:customStyle="1" w:styleId="afff5">
    <w:name w:val="标准文件_术语条一"/>
    <w:basedOn w:val="af3"/>
    <w:next w:val="afff4"/>
    <w:qFormat/>
    <w:pPr>
      <w:widowControl/>
      <w:ind w:left="567"/>
    </w:pPr>
    <w:rPr>
      <w:rFonts w:ascii="宋体" w:eastAsia="宋体" w:hAnsi="Times New Roman" w:cs="Times New Roman"/>
      <w:kern w:val="0"/>
      <w:szCs w:val="20"/>
    </w:rPr>
  </w:style>
  <w:style w:type="paragraph" w:customStyle="1" w:styleId="af1">
    <w:name w:val="标准文件_注："/>
    <w:next w:val="afff4"/>
    <w:pPr>
      <w:widowControl w:val="0"/>
      <w:numPr>
        <w:numId w:val="7"/>
      </w:numPr>
      <w:autoSpaceDE w:val="0"/>
      <w:autoSpaceDN w:val="0"/>
      <w:jc w:val="both"/>
    </w:pPr>
    <w:rPr>
      <w:rFonts w:ascii="宋体" w:eastAsia="宋体" w:hAnsi="Times New Roman" w:cs="Times New Roman"/>
      <w:sz w:val="18"/>
      <w:szCs w:val="18"/>
    </w:rPr>
  </w:style>
  <w:style w:type="paragraph" w:customStyle="1" w:styleId="afff6">
    <w:name w:val="标准文件_标准正文"/>
    <w:basedOn w:val="af3"/>
    <w:next w:val="afff4"/>
    <w:pPr>
      <w:adjustRightInd w:val="0"/>
      <w:snapToGrid w:val="0"/>
      <w:spacing w:line="400" w:lineRule="exact"/>
      <w:ind w:firstLineChars="200" w:firstLine="200"/>
    </w:pPr>
    <w:rPr>
      <w:rFonts w:ascii="Calibri" w:eastAsia="宋体" w:hAnsi="Calibri" w:cs="Times New Roman"/>
      <w:kern w:val="0"/>
      <w:szCs w:val="21"/>
    </w:rPr>
  </w:style>
  <w:style w:type="paragraph" w:customStyle="1" w:styleId="a5">
    <w:name w:val="标准文件_数字编号列项（二级）"/>
    <w:pPr>
      <w:numPr>
        <w:ilvl w:val="1"/>
        <w:numId w:val="8"/>
      </w:numPr>
      <w:jc w:val="both"/>
    </w:pPr>
    <w:rPr>
      <w:rFonts w:ascii="宋体" w:eastAsia="宋体" w:hAnsi="Times New Roman" w:cs="Times New Roman"/>
      <w:sz w:val="21"/>
    </w:rPr>
  </w:style>
  <w:style w:type="paragraph" w:customStyle="1" w:styleId="afff7">
    <w:name w:val="标准文件_正文公式"/>
    <w:basedOn w:val="af3"/>
    <w:next w:val="afff6"/>
    <w:pPr>
      <w:tabs>
        <w:tab w:val="center" w:pos="4678"/>
        <w:tab w:val="right" w:leader="middleDot" w:pos="9356"/>
      </w:tabs>
      <w:adjustRightInd w:val="0"/>
    </w:pPr>
    <w:rPr>
      <w:rFonts w:ascii="宋体" w:eastAsia="宋体" w:hAnsi="宋体" w:cs="Times New Roman"/>
      <w:szCs w:val="21"/>
    </w:rPr>
  </w:style>
  <w:style w:type="paragraph" w:customStyle="1" w:styleId="a8">
    <w:name w:val="标准文件_正文图标题"/>
    <w:next w:val="afff4"/>
    <w:pPr>
      <w:numPr>
        <w:numId w:val="9"/>
      </w:numPr>
      <w:spacing w:beforeLines="50" w:afterLines="50"/>
      <w:jc w:val="center"/>
    </w:pPr>
    <w:rPr>
      <w:rFonts w:ascii="黑体" w:eastAsia="黑体" w:hAnsi="Times New Roman" w:cs="Times New Roman"/>
      <w:sz w:val="21"/>
    </w:rPr>
  </w:style>
  <w:style w:type="paragraph" w:customStyle="1" w:styleId="af2">
    <w:name w:val="标准文件_正文英文表标题"/>
    <w:next w:val="afff4"/>
    <w:pPr>
      <w:numPr>
        <w:numId w:val="10"/>
      </w:numPr>
      <w:jc w:val="center"/>
    </w:pPr>
    <w:rPr>
      <w:rFonts w:ascii="黑体" w:eastAsia="黑体" w:hAnsi="Times New Roman" w:cs="Times New Roman"/>
      <w:sz w:val="21"/>
    </w:rPr>
  </w:style>
  <w:style w:type="paragraph" w:customStyle="1" w:styleId="a6">
    <w:name w:val="标准文件_编号列项（三级）"/>
    <w:pPr>
      <w:numPr>
        <w:ilvl w:val="2"/>
        <w:numId w:val="8"/>
      </w:numPr>
    </w:pPr>
    <w:rPr>
      <w:rFonts w:ascii="宋体" w:eastAsia="宋体" w:hAnsi="Times New Roman" w:cs="Times New Roman"/>
      <w:sz w:val="21"/>
    </w:rPr>
  </w:style>
  <w:style w:type="paragraph" w:customStyle="1" w:styleId="afff8">
    <w:name w:val="标准文件_四级无标题"/>
    <w:basedOn w:val="af"/>
    <w:qFormat/>
    <w:pPr>
      <w:numPr>
        <w:ilvl w:val="0"/>
        <w:numId w:val="0"/>
      </w:numPr>
      <w:spacing w:beforeLines="0" w:afterLines="0"/>
      <w:outlineLvl w:val="9"/>
    </w:pPr>
    <w:rPr>
      <w:rFonts w:ascii="宋体" w:eastAsia="宋体" w:hAnsi="黑体"/>
      <w:szCs w:val="52"/>
    </w:rPr>
  </w:style>
  <w:style w:type="paragraph" w:customStyle="1" w:styleId="a4">
    <w:name w:val="标准文件_字母编号列项（一级）"/>
    <w:pPr>
      <w:numPr>
        <w:numId w:val="8"/>
      </w:numPr>
      <w:jc w:val="both"/>
    </w:pPr>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04CAB-56B0-4F23-B20C-A2BB8D2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1516</Words>
  <Characters>8646</Characters>
  <Application>Microsoft Office Word</Application>
  <DocSecurity>0</DocSecurity>
  <Lines>72</Lines>
  <Paragraphs>20</Paragraphs>
  <ScaleCrop>false</ScaleCrop>
  <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张晋</dc:creator>
  <cp:lastModifiedBy>朱  哲</cp:lastModifiedBy>
  <cp:revision>40</cp:revision>
  <cp:lastPrinted>2020-01-06T08:41:00Z</cp:lastPrinted>
  <dcterms:created xsi:type="dcterms:W3CDTF">2023-12-20T01:03:00Z</dcterms:created>
  <dcterms:modified xsi:type="dcterms:W3CDTF">2024-05-22T02:02:00Z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B6106C81830843ECAADE48873CFCC369_13</vt:lpwstr>
  </property>
</Properties>
</file>